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jc w:val="center"/>
        <w:rPr>
          <w:rFonts w:ascii="方正小标宋简体" w:eastAsia="方正小标宋简体"/>
          <w:sz w:val="44"/>
          <w:szCs w:val="44"/>
          <w:shd w:val="clear" w:color="auto" w:fill="FFFFFF"/>
        </w:rPr>
      </w:pPr>
      <w:r>
        <w:rPr>
          <w:rFonts w:ascii="方正小标宋简体" w:eastAsia="方正小标宋简体" w:hint="eastAsia"/>
          <w:sz w:val="44"/>
          <w:szCs w:val="44"/>
          <w:shd w:val="clear" w:color="auto" w:fill="FFFFFF"/>
        </w:rPr>
        <w:t>关于吉林省社会科学基金项目</w:t>
      </w:r>
    </w:p>
    <w:p>
      <w:pPr>
        <w:jc w:val="center"/>
        <w:rPr>
          <w:rFonts w:ascii="方正小标宋简体" w:eastAsia="方正小标宋简体" w:hint="eastAsia"/>
          <w:sz w:val="44"/>
          <w:szCs w:val="44"/>
          <w:shd w:val="clear" w:color="auto" w:fill="FFFFFF"/>
        </w:rPr>
      </w:pPr>
      <w:r>
        <w:rPr>
          <w:rFonts w:ascii="方正小标宋简体" w:eastAsia="方正小标宋简体" w:hint="eastAsia"/>
          <w:sz w:val="44"/>
          <w:szCs w:val="44"/>
          <w:shd w:val="clear" w:color="auto" w:fill="FFFFFF"/>
        </w:rPr>
        <w:t>2018年度申报工作的通知</w:t>
      </w:r>
    </w:p>
    <w:p>
      <w:pPr>
        <w:pStyle w:val="17"/>
        <w:shd w:val="clear" w:color="auto" w:fill="FFFFFF"/>
        <w:spacing w:before="0" w:beforeAutospacing="0" w:after="0" w:afterAutospacing="0"/>
        <w:rPr>
          <w:color w:val="101010"/>
          <w:sz w:val="21"/>
          <w:szCs w:val="21"/>
        </w:rPr>
      </w:pPr>
    </w:p>
    <w:p>
      <w:pPr>
        <w:widowControl/>
        <w:shd w:val="clear" w:color="auto" w:fill="FFFFFF"/>
        <w:spacing w:line="700" w:lineRule="exact"/>
        <w:jc w:val="left"/>
        <w:rPr>
          <w:rFonts w:ascii="仿宋" w:eastAsia="仿宋" w:cs="宋体" w:hint="eastAsia"/>
          <w:color w:val="101010"/>
          <w:kern w:val="0"/>
          <w:sz w:val="32"/>
          <w:szCs w:val="32"/>
        </w:rPr>
      </w:pPr>
      <w:r>
        <w:rPr>
          <w:rFonts w:ascii="仿宋" w:eastAsia="仿宋" w:cs="宋体" w:hint="eastAsia"/>
          <w:b/>
          <w:bCs/>
          <w:color w:val="101010"/>
          <w:kern w:val="0"/>
          <w:sz w:val="32"/>
          <w:szCs w:val="32"/>
        </w:rPr>
        <w:t>各单位、各部门：</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宋体" w:eastAsia="仿宋" w:cs="宋体" w:hAnsi="宋体"/>
          <w:color w:val="101010"/>
          <w:kern w:val="0"/>
          <w:sz w:val="32"/>
          <w:szCs w:val="32"/>
        </w:rPr>
        <w:t xml:space="preserve">  </w:t>
      </w:r>
      <w:r>
        <w:rPr>
          <w:rFonts w:ascii="仿宋" w:eastAsia="仿宋" w:cs="宋体" w:hint="eastAsia"/>
          <w:color w:val="101010"/>
          <w:kern w:val="0"/>
          <w:sz w:val="32"/>
          <w:szCs w:val="32"/>
        </w:rPr>
        <w:t>2018年是《吉林省社会科学研究“十三五”规划纲要》制定实施的第三个年份，是执行好“十三五”规划研究任务的重要年份。根据年度专项基金数额情况以及我省社科发展的实际需要，</w:t>
      </w:r>
      <w:r>
        <w:rPr>
          <w:rFonts w:ascii="仿宋" w:eastAsia="仿宋" w:cs="宋体"/>
          <w:color w:val="101010"/>
          <w:kern w:val="0"/>
          <w:sz w:val="32"/>
          <w:szCs w:val="32"/>
        </w:rPr>
        <w:t>吉林</w:t>
      </w:r>
      <w:r>
        <w:rPr>
          <w:rFonts w:ascii="仿宋" w:eastAsia="仿宋" w:cs="宋体" w:hint="eastAsia"/>
          <w:color w:val="101010"/>
          <w:kern w:val="0"/>
          <w:sz w:val="32"/>
          <w:szCs w:val="32"/>
        </w:rPr>
        <w:t>省社科基金在</w:t>
      </w:r>
      <w:r>
        <w:rPr>
          <w:rFonts w:ascii="仿宋" w:eastAsia="仿宋" w:cs="宋体"/>
          <w:color w:val="101010"/>
          <w:kern w:val="0"/>
          <w:sz w:val="32"/>
          <w:szCs w:val="32"/>
        </w:rPr>
        <w:t>2018年度</w:t>
      </w:r>
      <w:r>
        <w:rPr>
          <w:rFonts w:ascii="仿宋" w:eastAsia="仿宋" w:cs="宋体" w:hint="eastAsia"/>
          <w:color w:val="101010"/>
          <w:kern w:val="0"/>
          <w:sz w:val="32"/>
          <w:szCs w:val="32"/>
        </w:rPr>
        <w:t>谋划立项</w:t>
      </w:r>
      <w:r>
        <w:rPr>
          <w:rFonts w:ascii="仿宋" w:eastAsia="仿宋" w:cs="宋体"/>
          <w:color w:val="101010"/>
          <w:kern w:val="0"/>
          <w:sz w:val="32"/>
          <w:szCs w:val="32"/>
        </w:rPr>
        <w:t>工作</w:t>
      </w:r>
      <w:r>
        <w:rPr>
          <w:rFonts w:ascii="仿宋" w:eastAsia="仿宋" w:cs="宋体" w:hint="eastAsia"/>
          <w:color w:val="101010"/>
          <w:kern w:val="0"/>
          <w:sz w:val="32"/>
          <w:szCs w:val="32"/>
        </w:rPr>
        <w:t>布局上将做相应的具体调整</w:t>
      </w:r>
      <w:r>
        <w:rPr>
          <w:rFonts w:ascii="仿宋" w:eastAsia="仿宋" w:cs="宋体"/>
          <w:color w:val="101010"/>
          <w:kern w:val="0"/>
          <w:sz w:val="32"/>
          <w:szCs w:val="32"/>
        </w:rPr>
        <w:t>,具体通知如下：</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b/>
          <w:bCs/>
          <w:color w:val="101010"/>
          <w:kern w:val="0"/>
          <w:sz w:val="32"/>
          <w:szCs w:val="32"/>
        </w:rPr>
        <w:t xml:space="preserve">   </w:t>
      </w:r>
      <w:r>
        <w:rPr>
          <w:rFonts w:ascii="仿宋" w:eastAsia="仿宋" w:cs="宋体" w:hint="eastAsia"/>
          <w:b/>
          <w:bCs/>
          <w:color w:val="101010"/>
          <w:kern w:val="0"/>
          <w:sz w:val="32"/>
          <w:szCs w:val="32"/>
        </w:rPr>
        <w:t>一、立项指导思想</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w:t>
      </w:r>
      <w:r>
        <w:rPr>
          <w:rFonts w:ascii="宋体" w:eastAsia="仿宋" w:cs="宋体" w:hAnsi="宋体"/>
          <w:color w:val="101010"/>
          <w:kern w:val="0"/>
          <w:sz w:val="32"/>
          <w:szCs w:val="32"/>
        </w:rPr>
        <w:t xml:space="preserve">  </w:t>
      </w:r>
      <w:r>
        <w:rPr>
          <w:rFonts w:ascii="宋体" w:eastAsia="仿宋" w:cs="宋体" w:hAnsi="宋体" w:hint="eastAsia"/>
          <w:color w:val="101010"/>
          <w:kern w:val="0"/>
          <w:sz w:val="32"/>
          <w:szCs w:val="32"/>
        </w:rPr>
        <w:t xml:space="preserve"> </w:t>
      </w:r>
      <w:r>
        <w:rPr>
          <w:rFonts w:ascii="仿宋" w:eastAsia="仿宋" w:cs="宋体" w:hint="eastAsia"/>
          <w:color w:val="101010"/>
          <w:kern w:val="0"/>
          <w:sz w:val="32"/>
          <w:szCs w:val="32"/>
        </w:rPr>
        <w:t>全面贯彻落实党的十九大精神，高举中国特色社会主义伟大旗帜，以马克思列宁主义、毛泽东思想、邓小平理论、“三个代表”重要思想、科学发展观、习近平新时代中国特色社会主义思想为指导，深入贯彻落实十九大以来中央及我省的重大战略部署，发挥社科基金的引导作用，为科学决策、理论创新和实践发展服务。</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b/>
          <w:bCs/>
          <w:color w:val="101010"/>
          <w:kern w:val="0"/>
          <w:sz w:val="32"/>
          <w:szCs w:val="32"/>
        </w:rPr>
        <w:t xml:space="preserve">   </w:t>
      </w:r>
      <w:r>
        <w:rPr>
          <w:rFonts w:ascii="仿宋" w:eastAsia="仿宋" w:cs="宋体" w:hint="eastAsia"/>
          <w:b/>
          <w:bCs/>
          <w:color w:val="101010"/>
          <w:kern w:val="0"/>
          <w:sz w:val="32"/>
          <w:szCs w:val="32"/>
        </w:rPr>
        <w:t>二、立项基本原则</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宋体" w:eastAsia="仿宋" w:cs="宋体" w:hAnsi="宋体"/>
          <w:color w:val="101010"/>
          <w:kern w:val="0"/>
          <w:sz w:val="32"/>
          <w:szCs w:val="32"/>
        </w:rPr>
        <w:t xml:space="preserve"> </w:t>
      </w:r>
      <w:r>
        <w:rPr>
          <w:rFonts w:ascii="仿宋" w:eastAsia="仿宋" w:cs="宋体" w:hint="eastAsia"/>
          <w:color w:val="101010"/>
          <w:kern w:val="0"/>
          <w:sz w:val="32"/>
          <w:szCs w:val="32"/>
        </w:rPr>
        <w:t>侧重实际应用研究，突出对策性、前瞻性问题研究，适度布局基础研究，加强地方经济社会发展重点领域问题的布局研究，继续扶持青年学者。</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b/>
          <w:bCs/>
          <w:color w:val="101010"/>
          <w:kern w:val="0"/>
          <w:sz w:val="32"/>
          <w:szCs w:val="32"/>
        </w:rPr>
        <w:t xml:space="preserve">   </w:t>
      </w:r>
      <w:r>
        <w:rPr>
          <w:rFonts w:ascii="仿宋" w:eastAsia="仿宋" w:cs="宋体" w:hint="eastAsia"/>
          <w:b/>
          <w:bCs/>
          <w:color w:val="101010"/>
          <w:kern w:val="0"/>
          <w:sz w:val="32"/>
          <w:szCs w:val="32"/>
        </w:rPr>
        <w:t>三、立项种类、选题要求及申报条件</w:t>
      </w:r>
    </w:p>
    <w:p>
      <w:pPr>
        <w:widowControl/>
        <w:shd w:val="clear" w:color="auto" w:fill="FFFFFF"/>
        <w:spacing w:line="700" w:lineRule="exact"/>
        <w:jc w:val="left"/>
        <w:rPr>
          <w:rFonts w:ascii="仿宋" w:eastAsia="仿宋" w:cs="宋体" w:hint="eastAsia"/>
          <w:kern w:val="0"/>
          <w:sz w:val="32"/>
          <w:szCs w:val="32"/>
        </w:rPr>
      </w:pPr>
      <w:r>
        <w:rPr>
          <w:rFonts w:ascii="宋体" w:eastAsia="仿宋" w:cs="宋体" w:hAnsi="宋体" w:hint="eastAsia"/>
          <w:color w:val="101010"/>
          <w:kern w:val="0"/>
          <w:sz w:val="32"/>
          <w:szCs w:val="32"/>
        </w:rPr>
        <w:t xml:space="preserve">   </w:t>
      </w:r>
      <w:r>
        <w:rPr>
          <w:rFonts w:ascii="仿宋" w:eastAsia="仿宋" w:cs="宋体" w:hint="eastAsia"/>
          <w:color w:val="101010"/>
          <w:kern w:val="0"/>
          <w:sz w:val="32"/>
          <w:szCs w:val="32"/>
        </w:rPr>
        <w:t>1、立项种类。</w:t>
      </w:r>
      <w:r>
        <w:rPr>
          <w:rFonts w:ascii="仿宋" w:eastAsia="仿宋" w:cs="宋体" w:hint="eastAsia"/>
          <w:kern w:val="0"/>
          <w:sz w:val="32"/>
          <w:szCs w:val="32"/>
        </w:rPr>
        <w:t>2018年度省社科基金立项种类分为重点项目、一般自选项目、博士和青年扶持项目、研究基地项目、马工程专项、思政研究专项、网络文化研究专项、重大委托项目八类。</w:t>
      </w:r>
    </w:p>
    <w:p>
      <w:pPr>
        <w:widowControl/>
        <w:shd w:val="clear" w:color="auto" w:fill="FFFFFF"/>
        <w:spacing w:line="700" w:lineRule="exact"/>
        <w:jc w:val="left"/>
        <w:rPr>
          <w:rFonts w:ascii="仿宋" w:eastAsia="仿宋" w:cs="宋体" w:hint="eastAsia"/>
          <w:b/>
          <w:bCs/>
          <w:color w:val="101010"/>
          <w:kern w:val="0"/>
          <w:sz w:val="32"/>
          <w:szCs w:val="32"/>
        </w:rPr>
      </w:pPr>
      <w:r>
        <w:rPr>
          <w:rFonts w:ascii="宋体" w:eastAsia="仿宋" w:cs="宋体" w:hAnsi="宋体" w:hint="eastAsia"/>
          <w:color w:val="101010"/>
          <w:kern w:val="0"/>
          <w:sz w:val="32"/>
          <w:szCs w:val="32"/>
        </w:rPr>
        <w:t xml:space="preserve">   </w:t>
      </w:r>
      <w:r>
        <w:rPr>
          <w:rFonts w:ascii="仿宋" w:eastAsia="仿宋" w:cs="宋体" w:hint="eastAsia"/>
          <w:color w:val="101010"/>
          <w:kern w:val="0"/>
          <w:sz w:val="32"/>
          <w:szCs w:val="32"/>
        </w:rPr>
        <w:t>2、重点项目的申报选题和申报条件。重点项目的申报选题在“吉林社科规划”网站上发布。</w:t>
      </w:r>
      <w:r>
        <w:rPr>
          <w:rFonts w:ascii="仿宋" w:eastAsia="仿宋" w:cs="宋体" w:hint="eastAsia"/>
          <w:b/>
          <w:bCs/>
          <w:color w:val="101010"/>
          <w:kern w:val="0"/>
          <w:sz w:val="32"/>
          <w:szCs w:val="32"/>
        </w:rPr>
        <w:t>申报者须按照指南题目申报。</w:t>
      </w:r>
      <w:r>
        <w:rPr>
          <w:rFonts w:ascii="仿宋" w:eastAsia="仿宋" w:cs="宋体" w:hint="eastAsia"/>
          <w:color w:val="101010"/>
          <w:kern w:val="0"/>
          <w:sz w:val="32"/>
          <w:szCs w:val="32"/>
        </w:rPr>
        <w:t>申报人必须具备正高级专业技术职务。</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仿宋" w:eastAsia="仿宋" w:cs="宋体" w:hint="eastAsia"/>
          <w:color w:val="101010"/>
          <w:kern w:val="0"/>
          <w:sz w:val="32"/>
          <w:szCs w:val="32"/>
        </w:rPr>
        <w:t>3、一般自选项目的选题原则和申报条件。一般自选项目的申报选题要坚持理论创新，侧重理论联系实际，紧密结合我省经济社会发展的实际需要，在社会生产、生活、科研和教学等前沿领域中提炼研究选题，要体现鲜明的问题导向和创新意识。倡导和侧重支持选题研究成果具有针对性转化目标的实际应用研究，决策咨询类研究。申报人必须具备副高级及以上专业技术职务，可按照上述选题原则进行自主拟题自愿申报。</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仿宋" w:eastAsia="仿宋" w:cs="宋体" w:hint="eastAsia"/>
          <w:color w:val="101010"/>
          <w:kern w:val="0"/>
          <w:sz w:val="32"/>
          <w:szCs w:val="32"/>
        </w:rPr>
        <w:t>4、博士和青年扶持项目的选题原则和申报条件。博士和青年扶持项目的申报选题应着眼我省经济社会发展的实际需要，结合科研、教学工作，在自身的研究方向上、研究领域上和学术优势上寻找提炼研究选题。申报人必须具备中级及以下专业技术职务。具有博士学位或在职在读博士研究生可以申报此类项目。不具有博士学位、非在读博士研究生的申报人，年龄不得超过45周岁（1973年3月31日后出生），必须有两名具有正高级专业技术职务的同行专家推荐。</w:t>
      </w:r>
    </w:p>
    <w:p>
      <w:pPr>
        <w:widowControl/>
        <w:shd w:val="clear" w:color="auto" w:fill="FFFFFF"/>
        <w:spacing w:line="700" w:lineRule="exact"/>
        <w:jc w:val="left"/>
        <w:rPr>
          <w:rFonts w:ascii="仿宋" w:eastAsia="仿宋" w:cs="宋体" w:hint="eastAsia"/>
          <w:b/>
          <w:bCs/>
          <w:color w:val="101010"/>
          <w:kern w:val="0"/>
          <w:sz w:val="32"/>
          <w:szCs w:val="32"/>
        </w:rPr>
      </w:pPr>
      <w:r>
        <w:rPr>
          <w:rFonts w:ascii="宋体" w:eastAsia="仿宋" w:cs="宋体" w:hAnsi="宋体" w:hint="eastAsia"/>
          <w:color w:val="101010"/>
          <w:kern w:val="0"/>
          <w:sz w:val="32"/>
          <w:szCs w:val="32"/>
        </w:rPr>
        <w:t xml:space="preserve">   </w:t>
      </w:r>
      <w:r>
        <w:rPr>
          <w:rFonts w:ascii="仿宋" w:eastAsia="仿宋" w:cs="宋体" w:hint="eastAsia"/>
          <w:color w:val="101010"/>
          <w:kern w:val="0"/>
          <w:sz w:val="32"/>
          <w:szCs w:val="32"/>
        </w:rPr>
        <w:t>5、研究基地项目。研究基地项目是指经批准运行中的吉林省特色文化研究基地和吉林省社会科学重点领域研究基地年度滚动项目。有空余滚动项目名额的研究基地，由研究基地负责人按照1比1的比例确定选题及申报人进行申报。评审未通过的立项名额推迟下一年度使用。研究基地项目不得指派基地外人员承担申报</w:t>
      </w:r>
      <w:r>
        <w:rPr>
          <w:rFonts w:ascii="仿宋" w:eastAsia="仿宋" w:cs="宋体"/>
          <w:b/>
          <w:bCs/>
          <w:color w:val="101010"/>
          <w:kern w:val="0"/>
          <w:sz w:val="32"/>
          <w:szCs w:val="32"/>
        </w:rPr>
        <w:t>(我校因无相关类别基地，无法申报此类项目）</w:t>
      </w:r>
      <w:r>
        <w:rPr>
          <w:rFonts w:ascii="仿宋" w:eastAsia="仿宋" w:cs="宋体" w:hint="eastAsia"/>
          <w:color w:val="101010"/>
          <w:kern w:val="0"/>
          <w:sz w:val="32"/>
          <w:szCs w:val="32"/>
        </w:rPr>
        <w:t>。</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仿宋" w:eastAsia="仿宋" w:cs="宋体" w:hint="eastAsia"/>
          <w:color w:val="101010"/>
          <w:kern w:val="0"/>
          <w:sz w:val="32"/>
          <w:szCs w:val="32"/>
        </w:rPr>
        <w:t>6、马工程专项、思政研究专项、网络文化研究专项的立项申报工作另发《申报工作通知》。届时可在“吉林社科规划”网站上查询申报。</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b/>
          <w:bCs/>
          <w:color w:val="101010"/>
          <w:kern w:val="0"/>
          <w:sz w:val="32"/>
          <w:szCs w:val="32"/>
        </w:rPr>
        <w:t xml:space="preserve">   </w:t>
      </w:r>
      <w:r>
        <w:rPr>
          <w:rFonts w:ascii="仿宋" w:eastAsia="仿宋" w:cs="宋体" w:hint="eastAsia"/>
          <w:b/>
          <w:bCs/>
          <w:color w:val="101010"/>
          <w:kern w:val="0"/>
          <w:sz w:val="32"/>
          <w:szCs w:val="32"/>
        </w:rPr>
        <w:t>四、成果形式及研究期限</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仿宋" w:eastAsia="仿宋" w:cs="宋体" w:hint="eastAsia"/>
          <w:kern w:val="0"/>
          <w:sz w:val="32"/>
          <w:szCs w:val="32"/>
        </w:rPr>
        <w:t>申报课题的最终成果形式分为三类：系列化论文、研究报告和著作类。</w:t>
      </w:r>
      <w:r>
        <w:rPr>
          <w:rFonts w:ascii="仿宋" w:eastAsia="仿宋" w:cs="宋体" w:hint="eastAsia"/>
          <w:color w:val="101010"/>
          <w:kern w:val="0"/>
          <w:sz w:val="32"/>
          <w:szCs w:val="32"/>
        </w:rPr>
        <w:t>基础类研究要求以系列化论文或著作类为主。申报人可根据选题研究内容自选其一填报。</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宋体" w:eastAsia="仿宋" w:cs="宋体" w:hAnsi="宋体"/>
          <w:color w:val="101010"/>
          <w:kern w:val="0"/>
          <w:sz w:val="32"/>
          <w:szCs w:val="32"/>
        </w:rPr>
        <w:t xml:space="preserve"> </w:t>
      </w:r>
      <w:r>
        <w:rPr>
          <w:rFonts w:ascii="仿宋" w:eastAsia="仿宋" w:cs="宋体" w:hint="eastAsia"/>
          <w:color w:val="101010"/>
          <w:kern w:val="0"/>
          <w:sz w:val="32"/>
          <w:szCs w:val="32"/>
        </w:rPr>
        <w:t>系列化论文要求课题负责人及课题组成员在公开刊物上发表与课题相关的学术论文5篇以上（含5篇），其中</w:t>
      </w:r>
      <w:r>
        <w:rPr>
          <w:rFonts w:ascii="仿宋" w:eastAsia="仿宋" w:cs="宋体" w:hint="eastAsia"/>
          <w:b/>
          <w:bCs/>
          <w:color w:val="101010"/>
          <w:kern w:val="0"/>
          <w:sz w:val="32"/>
          <w:szCs w:val="32"/>
        </w:rPr>
        <w:t>至少有2篇为核心期刊</w:t>
      </w:r>
      <w:r>
        <w:rPr>
          <w:rFonts w:ascii="仿宋" w:eastAsia="仿宋" w:cs="宋体" w:hint="eastAsia"/>
          <w:color w:val="101010"/>
          <w:kern w:val="0"/>
          <w:sz w:val="32"/>
          <w:szCs w:val="32"/>
        </w:rPr>
        <w:t>。项目负责人至少发表2篇以上（含2篇），并至少含1篇核心期刊及以上。否则不予结项。研究期限一般为2年。</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宋体" w:eastAsia="仿宋" w:cs="宋体" w:hAnsi="宋体"/>
          <w:color w:val="101010"/>
          <w:kern w:val="0"/>
          <w:sz w:val="32"/>
          <w:szCs w:val="32"/>
        </w:rPr>
        <w:t xml:space="preserve"> </w:t>
      </w:r>
      <w:r>
        <w:rPr>
          <w:rFonts w:ascii="仿宋" w:eastAsia="仿宋" w:cs="宋体" w:hint="eastAsia"/>
          <w:color w:val="101010"/>
          <w:kern w:val="0"/>
          <w:sz w:val="32"/>
          <w:szCs w:val="32"/>
        </w:rPr>
        <w:t>研究报告限定在应用对策类选题的最终成果形式上使用。研究报告需完成3万字以上，成果提要3000字左右，研究期限一般为1年半。申请结项时必须同时提交《项目成果重复率检测报告》，复制比小于20%视为合格，方可上报申请结项，否则申请结项不予受理。</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仿宋" w:eastAsia="仿宋" w:cs="宋体" w:hint="eastAsia"/>
          <w:color w:val="101010"/>
          <w:kern w:val="0"/>
          <w:sz w:val="32"/>
          <w:szCs w:val="32"/>
        </w:rPr>
        <w:t>著</w:t>
      </w:r>
      <w:r>
        <w:rPr>
          <w:rFonts w:ascii="仿宋" w:eastAsia="仿宋" w:cs="宋体"/>
          <w:color w:val="101010"/>
          <w:kern w:val="0"/>
          <w:sz w:val="32"/>
          <w:szCs w:val="32"/>
        </w:rPr>
        <w:t xml:space="preserve"> </w:t>
      </w:r>
      <w:r>
        <w:rPr>
          <w:rFonts w:ascii="仿宋" w:eastAsia="仿宋" w:cs="宋体" w:hint="eastAsia"/>
          <w:color w:val="101010"/>
          <w:kern w:val="0"/>
          <w:sz w:val="32"/>
          <w:szCs w:val="32"/>
        </w:rPr>
        <w:t>作类成果要求15万字以上，研究期限一般为3年。项目负责人必须完成全书总字数的60%以上，否则视为无效结项成果。</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宋体" w:eastAsia="仿宋" w:cs="宋体" w:hAnsi="宋体"/>
          <w:color w:val="101010"/>
          <w:kern w:val="0"/>
          <w:sz w:val="32"/>
          <w:szCs w:val="32"/>
        </w:rPr>
        <w:t xml:space="preserve">  </w:t>
      </w:r>
      <w:r>
        <w:rPr>
          <w:rFonts w:ascii="仿宋" w:eastAsia="仿宋" w:cs="宋体" w:hint="eastAsia"/>
          <w:color w:val="101010"/>
          <w:kern w:val="0"/>
          <w:sz w:val="32"/>
          <w:szCs w:val="32"/>
        </w:rPr>
        <w:t>最终成果形式须慎重选择，经审批立项后不得改动，否则按《吉林省社会科学基金项目管理办法》相关规定处理。</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宋体" w:eastAsia="仿宋" w:cs="宋体" w:hAnsi="宋体"/>
          <w:color w:val="101010"/>
          <w:kern w:val="0"/>
          <w:sz w:val="32"/>
          <w:szCs w:val="32"/>
        </w:rPr>
        <w:t xml:space="preserve">  </w:t>
      </w:r>
      <w:r>
        <w:rPr>
          <w:rFonts w:ascii="仿宋" w:eastAsia="仿宋" w:cs="宋体" w:hint="eastAsia"/>
          <w:color w:val="101010"/>
          <w:kern w:val="0"/>
          <w:sz w:val="32"/>
          <w:szCs w:val="32"/>
        </w:rPr>
        <w:t>研究期限可根据选题的科研工作量自主选择准确时间填报。申报选题经审批立项后完成时限不得随意改动，无极特殊原因必须按原计划时间完成。</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宋体" w:eastAsia="仿宋" w:cs="宋体" w:hAnsi="宋体"/>
          <w:color w:val="101010"/>
          <w:kern w:val="0"/>
          <w:sz w:val="32"/>
          <w:szCs w:val="32"/>
        </w:rPr>
        <w:t xml:space="preserve">  </w:t>
      </w:r>
      <w:r>
        <w:rPr>
          <w:rFonts w:ascii="仿宋" w:eastAsia="仿宋" w:cs="宋体" w:hint="eastAsia"/>
          <w:color w:val="101010"/>
          <w:kern w:val="0"/>
          <w:sz w:val="32"/>
          <w:szCs w:val="32"/>
        </w:rPr>
        <w:t>申报选题经审批立项后，课题研究过程中的相关工作，按照《吉林省社会科学基金项目管理办法》进行日常管理。</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b/>
          <w:bCs/>
          <w:color w:val="101010"/>
          <w:kern w:val="0"/>
          <w:sz w:val="32"/>
          <w:szCs w:val="32"/>
        </w:rPr>
        <w:t xml:space="preserve">   </w:t>
      </w:r>
      <w:r>
        <w:rPr>
          <w:rFonts w:ascii="仿宋" w:eastAsia="仿宋" w:cs="宋体" w:hint="eastAsia"/>
          <w:b/>
          <w:bCs/>
          <w:color w:val="101010"/>
          <w:kern w:val="0"/>
          <w:sz w:val="32"/>
          <w:szCs w:val="32"/>
        </w:rPr>
        <w:t>五、立项数量及资助经费</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仿宋" w:eastAsia="仿宋" w:cs="宋体" w:hint="eastAsia"/>
          <w:color w:val="101010"/>
          <w:kern w:val="0"/>
          <w:sz w:val="32"/>
          <w:szCs w:val="32"/>
        </w:rPr>
        <w:t>1、重点项目立项数量为20项，每项平均资助3.5万元。</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仿宋" w:eastAsia="仿宋" w:cs="宋体" w:hint="eastAsia"/>
          <w:color w:val="101010"/>
          <w:kern w:val="0"/>
          <w:sz w:val="32"/>
          <w:szCs w:val="32"/>
        </w:rPr>
        <w:t>2、一般自选项目立项数量为160项，每项平均资助1.5万元。</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仿宋" w:eastAsia="仿宋" w:cs="宋体" w:hint="eastAsia"/>
          <w:color w:val="101010"/>
          <w:kern w:val="0"/>
          <w:sz w:val="32"/>
          <w:szCs w:val="32"/>
        </w:rPr>
        <w:t>3、博士和青年扶持项目立项数量为70项。每项平均资助1.0万元。</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仿宋" w:eastAsia="仿宋" w:cs="宋体" w:hint="eastAsia"/>
          <w:color w:val="101010"/>
          <w:kern w:val="0"/>
          <w:sz w:val="32"/>
          <w:szCs w:val="32"/>
        </w:rPr>
        <w:t>4、研究基地项目每项资助1.0万元。</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仿宋" w:eastAsia="仿宋" w:cs="宋体" w:hint="eastAsia"/>
          <w:color w:val="101010"/>
          <w:kern w:val="0"/>
          <w:sz w:val="32"/>
          <w:szCs w:val="32"/>
        </w:rPr>
        <w:t>5、马工程专项、思政研究专项、网络文化研究专项的立项数量及资助经费详见相关专项申报工作通知。</w:t>
      </w:r>
    </w:p>
    <w:p>
      <w:pPr>
        <w:widowControl/>
        <w:shd w:val="clear" w:color="auto" w:fill="FFFFFF"/>
        <w:spacing w:line="700" w:lineRule="exact"/>
        <w:ind w:firstLineChars="100" w:firstLine="320"/>
        <w:jc w:val="left"/>
        <w:rPr>
          <w:rFonts w:ascii="仿宋" w:eastAsia="仿宋" w:cs="宋体" w:hint="eastAsia"/>
          <w:color w:val="101010"/>
          <w:kern w:val="0"/>
          <w:sz w:val="32"/>
          <w:szCs w:val="32"/>
        </w:rPr>
      </w:pPr>
      <w:r>
        <w:rPr>
          <w:rFonts w:ascii="仿宋" w:eastAsia="仿宋" w:cs="宋体" w:hint="eastAsia"/>
          <w:color w:val="101010"/>
          <w:kern w:val="0"/>
          <w:sz w:val="32"/>
          <w:szCs w:val="32"/>
        </w:rPr>
        <w:t>六、申报要求及申报时间</w:t>
      </w:r>
    </w:p>
    <w:p>
      <w:pPr>
        <w:widowControl/>
        <w:shd w:val="clear" w:color="auto" w:fill="FFFFFF"/>
        <w:spacing w:line="700" w:lineRule="exact"/>
        <w:jc w:val="left"/>
        <w:rPr>
          <w:rFonts w:ascii="仿宋" w:eastAsia="仿宋" w:cs="宋体"/>
          <w:color w:val="101010"/>
          <w:kern w:val="0"/>
          <w:sz w:val="32"/>
          <w:szCs w:val="32"/>
        </w:rPr>
      </w:pPr>
      <w:r>
        <w:rPr>
          <w:rFonts w:ascii="宋体" w:eastAsia="仿宋" w:cs="宋体" w:hAnsi="宋体" w:hint="eastAsia"/>
          <w:color w:val="101010"/>
          <w:kern w:val="0"/>
          <w:sz w:val="32"/>
          <w:szCs w:val="32"/>
        </w:rPr>
        <w:t xml:space="preserve">   </w:t>
      </w:r>
      <w:r>
        <w:rPr>
          <w:rFonts w:ascii="仿宋" w:eastAsia="仿宋" w:cs="宋体" w:hint="eastAsia"/>
          <w:color w:val="101010"/>
          <w:kern w:val="0"/>
          <w:sz w:val="32"/>
          <w:szCs w:val="32"/>
        </w:rPr>
        <w:t>1、上述各类项目的申报人应为</w:t>
      </w:r>
      <w:r>
        <w:rPr>
          <w:rFonts w:ascii="仿宋" w:eastAsia="仿宋" w:cs="宋体"/>
          <w:color w:val="101010"/>
          <w:kern w:val="0"/>
          <w:sz w:val="32"/>
          <w:szCs w:val="32"/>
        </w:rPr>
        <w:t>我校专职</w:t>
      </w:r>
      <w:r>
        <w:rPr>
          <w:rFonts w:ascii="仿宋" w:eastAsia="仿宋" w:cs="宋体" w:hint="eastAsia"/>
          <w:color w:val="101010"/>
          <w:kern w:val="0"/>
          <w:sz w:val="32"/>
          <w:szCs w:val="32"/>
        </w:rPr>
        <w:t>人员。</w:t>
      </w:r>
      <w:r>
        <w:rPr>
          <w:rFonts w:ascii="仿宋" w:eastAsia="仿宋" w:cs="宋体" w:hint="eastAsia"/>
          <w:b/>
          <w:bCs/>
          <w:color w:val="101010"/>
          <w:kern w:val="0"/>
          <w:sz w:val="32"/>
          <w:szCs w:val="32"/>
        </w:rPr>
        <w:t>符合条件的申报人在上述立项种类中只限选择一类、一个选题进行申报。重复多项申报者申报材料按作废材料处理，申报者3年内不得申报省社科基金项目</w:t>
      </w:r>
      <w:r>
        <w:rPr>
          <w:rFonts w:ascii="仿宋" w:eastAsia="仿宋" w:cs="宋体" w:hint="eastAsia"/>
          <w:color w:val="101010"/>
          <w:kern w:val="0"/>
          <w:sz w:val="32"/>
          <w:szCs w:val="32"/>
        </w:rPr>
        <w:t>。</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仿宋" w:eastAsia="仿宋" w:cs="宋体" w:hint="eastAsia"/>
          <w:color w:val="101010"/>
          <w:kern w:val="0"/>
          <w:sz w:val="32"/>
          <w:szCs w:val="32"/>
        </w:rPr>
        <w:t>2、2018年度省社科基金项目《申报书》及《活页》（2018年1月版），请申报人到“吉林社科规划”网站（www.jlpopss.gov.cn）“下载中心”栏目查询下载填写。上述各类项目的申报需填写《申报书》一式3份及《活页》一式6份。申报人不得使用旧有《申报书》及《活页》，违者按作废材料处理。</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仿宋" w:eastAsia="仿宋" w:cs="宋体" w:hint="eastAsia"/>
          <w:color w:val="101010"/>
          <w:kern w:val="0"/>
          <w:sz w:val="32"/>
          <w:szCs w:val="32"/>
        </w:rPr>
        <w:t>3、申报人要严格按照《申报书》中的“填表说明”进行如实操作，否则不予受理。</w:t>
      </w:r>
    </w:p>
    <w:p>
      <w:pPr>
        <w:widowControl/>
        <w:shd w:val="clear" w:color="auto" w:fill="FFFFFF"/>
        <w:spacing w:line="700" w:lineRule="exact"/>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仿宋" w:eastAsia="仿宋" w:cs="宋体" w:hint="eastAsia"/>
          <w:color w:val="101010"/>
          <w:kern w:val="0"/>
          <w:sz w:val="32"/>
          <w:szCs w:val="32"/>
        </w:rPr>
        <w:t>4、正在承担省或国家社科基金项目的负责人不得申报，课题组成员不限。</w:t>
      </w:r>
    </w:p>
    <w:p>
      <w:pPr>
        <w:widowControl/>
        <w:shd w:val="clear" w:color="auto" w:fill="FFFFFF"/>
        <w:spacing w:line="700" w:lineRule="exact"/>
        <w:jc w:val="left"/>
        <w:rPr>
          <w:rFonts w:ascii="宋体" w:eastAsia="仿宋" w:cs="宋体" w:hAnsi="宋体" w:hint="eastAsia"/>
          <w:color w:val="101010"/>
          <w:kern w:val="0"/>
          <w:sz w:val="32"/>
          <w:szCs w:val="32"/>
        </w:rPr>
      </w:pPr>
      <w:r>
        <w:rPr>
          <w:rFonts w:ascii="宋体" w:eastAsia="仿宋" w:cs="宋体" w:hAnsi="宋体" w:hint="eastAsia"/>
          <w:color w:val="101010"/>
          <w:kern w:val="0"/>
          <w:sz w:val="32"/>
          <w:szCs w:val="32"/>
        </w:rPr>
        <w:t xml:space="preserve">   </w:t>
      </w:r>
      <w:r>
        <w:rPr>
          <w:rFonts w:ascii="仿宋" w:eastAsia="仿宋" w:cs="宋体" w:hint="eastAsia"/>
          <w:color w:val="101010"/>
          <w:kern w:val="0"/>
          <w:sz w:val="32"/>
          <w:szCs w:val="32"/>
        </w:rPr>
        <w:t>5、申报人选题设计论证、报送申报材料时间期限为</w:t>
      </w:r>
      <w:bookmarkStart w:id="0" w:name="_GoBack"/>
      <w:bookmarkEnd w:id="0"/>
      <w:r>
        <w:rPr>
          <w:rFonts w:ascii="仿宋" w:eastAsia="仿宋" w:cs="宋体" w:hint="eastAsia"/>
          <w:color w:val="101010"/>
          <w:kern w:val="0"/>
          <w:sz w:val="32"/>
          <w:szCs w:val="32"/>
        </w:rPr>
        <w:t>从现在起至</w:t>
      </w:r>
      <w:r>
        <w:rPr>
          <w:rFonts w:ascii="仿宋" w:eastAsia="仿宋" w:cs="宋体" w:hint="eastAsia"/>
          <w:color w:val="FF0000"/>
          <w:kern w:val="0"/>
          <w:sz w:val="32"/>
          <w:szCs w:val="32"/>
        </w:rPr>
        <w:t>2018年3月</w:t>
      </w:r>
      <w:r>
        <w:rPr>
          <w:rFonts w:ascii="仿宋" w:eastAsia="仿宋" w:cs="宋体"/>
          <w:color w:val="FF0000"/>
          <w:kern w:val="0"/>
          <w:sz w:val="32"/>
          <w:szCs w:val="32"/>
        </w:rPr>
        <w:t>19</w:t>
      </w:r>
      <w:r>
        <w:rPr>
          <w:rFonts w:ascii="仿宋" w:eastAsia="仿宋" w:cs="宋体" w:hint="eastAsia"/>
          <w:color w:val="FF0000"/>
          <w:kern w:val="0"/>
          <w:sz w:val="32"/>
          <w:szCs w:val="32"/>
        </w:rPr>
        <w:t>日止</w:t>
      </w:r>
      <w:r>
        <w:rPr>
          <w:rFonts w:ascii="仿宋" w:eastAsia="仿宋" w:cs="宋体" w:hint="eastAsia"/>
          <w:color w:val="101010"/>
          <w:kern w:val="0"/>
          <w:sz w:val="32"/>
          <w:szCs w:val="32"/>
        </w:rPr>
        <w:t>，逾期不再受理。</w:t>
      </w:r>
      <w:r>
        <w:rPr>
          <w:rFonts w:ascii="宋体" w:eastAsia="仿宋" w:cs="宋体" w:hAnsi="宋体" w:hint="eastAsia"/>
          <w:color w:val="101010"/>
          <w:kern w:val="0"/>
          <w:sz w:val="32"/>
          <w:szCs w:val="32"/>
        </w:rPr>
        <w:t> </w:t>
      </w:r>
    </w:p>
    <w:p>
      <w:pPr>
        <w:widowControl/>
        <w:shd w:val="clear" w:color="auto" w:fill="FFFFFF"/>
        <w:spacing w:line="700" w:lineRule="exact"/>
        <w:ind w:firstLineChars="100" w:firstLine="320"/>
        <w:jc w:val="left"/>
        <w:rPr>
          <w:rFonts w:ascii="仿宋" w:eastAsia="仿宋" w:cs="宋体" w:hint="eastAsia"/>
          <w:color w:val="101010"/>
          <w:kern w:val="0"/>
          <w:sz w:val="32"/>
          <w:szCs w:val="32"/>
        </w:rPr>
      </w:pPr>
      <w:r>
        <w:rPr>
          <w:rFonts w:ascii="宋体" w:eastAsia="仿宋" w:cs="宋体" w:hAnsi="宋体" w:hint="eastAsia"/>
          <w:color w:val="101010"/>
          <w:kern w:val="0"/>
          <w:sz w:val="32"/>
          <w:szCs w:val="32"/>
        </w:rPr>
        <w:t xml:space="preserve">  </w:t>
      </w:r>
      <w:r>
        <w:rPr>
          <w:rFonts w:ascii="仿宋" w:eastAsia="仿宋" w:cs="宋体" w:hint="eastAsia"/>
          <w:color w:val="101010"/>
          <w:kern w:val="0"/>
          <w:sz w:val="32"/>
          <w:szCs w:val="32"/>
        </w:rPr>
        <w:t>6、上述各类项目的申报立项工作不收取任何费用。</w:t>
      </w:r>
    </w:p>
    <w:p>
      <w:pPr>
        <w:widowControl/>
        <w:shd w:val="clear" w:color="auto" w:fill="FFFFFF"/>
        <w:jc w:val="left"/>
        <w:rPr>
          <w:rFonts w:ascii="宋体" w:eastAsia="宋体" w:cs="宋体" w:hint="eastAsia"/>
          <w:b/>
          <w:bCs/>
          <w:color w:val="101010"/>
          <w:kern w:val="0"/>
          <w:sz w:val="28"/>
          <w:szCs w:val="28"/>
        </w:rPr>
      </w:pPr>
      <w:r>
        <w:rPr>
          <w:rFonts w:ascii="宋体" w:eastAsia="宋体" w:cs="宋体" w:hint="eastAsia"/>
          <w:b/>
          <w:bCs/>
          <w:color w:val="101010"/>
          <w:kern w:val="0"/>
          <w:sz w:val="28"/>
          <w:szCs w:val="28"/>
        </w:rPr>
        <w:t>  </w:t>
      </w:r>
    </w:p>
    <w:p>
      <w:pPr>
        <w:widowControl/>
        <w:shd w:val="clear" w:color="auto" w:fill="FFFFFF"/>
        <w:jc w:val="left"/>
        <w:rPr>
          <w:rFonts w:ascii="仿宋" w:eastAsia="仿宋" w:cs="宋体" w:hint="eastAsia"/>
          <w:b/>
          <w:bCs/>
          <w:color w:val="101010"/>
          <w:kern w:val="0"/>
          <w:sz w:val="32"/>
          <w:szCs w:val="32"/>
        </w:rPr>
      </w:pPr>
    </w:p>
    <w:p>
      <w:pPr>
        <w:widowControl/>
        <w:shd w:val="clear" w:color="auto" w:fill="FFFFFF"/>
        <w:jc w:val="center"/>
        <w:rPr>
          <w:rFonts w:ascii="仿宋" w:eastAsia="仿宋" w:cs="宋体" w:hint="eastAsia"/>
          <w:bCs/>
          <w:color w:val="101010"/>
          <w:kern w:val="0"/>
          <w:sz w:val="32"/>
          <w:szCs w:val="32"/>
        </w:rPr>
      </w:pPr>
      <w:r>
        <w:rPr>
          <w:rFonts w:ascii="仿宋" w:eastAsia="仿宋" w:cs="宋体" w:hint="eastAsia"/>
          <w:bCs/>
          <w:color w:val="101010"/>
          <w:kern w:val="0"/>
          <w:sz w:val="32"/>
          <w:szCs w:val="32"/>
        </w:rPr>
        <w:t xml:space="preserve">                         长春大学旅游学院科研处</w:t>
      </w:r>
    </w:p>
    <w:p>
      <w:pPr>
        <w:widowControl/>
        <w:shd w:val="clear" w:color="auto" w:fill="FFFFFF"/>
        <w:ind w:left="0" w:firstLineChars="1550" w:firstLine="4960"/>
        <w:rPr>
          <w:rFonts w:ascii="仿宋" w:eastAsia="仿宋" w:cs="宋体" w:hint="eastAsia"/>
          <w:bCs/>
          <w:color w:val="101010"/>
          <w:kern w:val="0"/>
          <w:sz w:val="32"/>
          <w:szCs w:val="32"/>
        </w:rPr>
      </w:pPr>
      <w:r>
        <w:rPr>
          <w:rFonts w:ascii="仿宋" w:eastAsia="仿宋" w:cs="宋体" w:hint="eastAsia"/>
          <w:bCs/>
          <w:color w:val="101010"/>
          <w:kern w:val="0"/>
          <w:sz w:val="32"/>
          <w:szCs w:val="32"/>
        </w:rPr>
        <w:t>2018</w:t>
      </w:r>
      <w:r>
        <w:rPr>
          <w:rFonts w:ascii="仿宋" w:eastAsia="仿宋" w:cs="宋体"/>
          <w:bCs/>
          <w:color w:val="101010"/>
          <w:kern w:val="0"/>
          <w:sz w:val="32"/>
          <w:szCs w:val="32"/>
        </w:rPr>
        <w:t>年1月15日</w:t>
      </w:r>
    </w:p>
    <w:p>
      <w:pPr>
        <w:widowControl/>
        <w:shd w:val="clear" w:color="auto" w:fill="FFFFFF"/>
        <w:jc w:val="left"/>
        <w:rPr>
          <w:rFonts w:ascii="宋体" w:eastAsia="宋体" w:cs="宋体"/>
          <w:color w:val="101010"/>
          <w:kern w:val="0"/>
          <w:sz w:val="28"/>
          <w:szCs w:val="28"/>
        </w:rPr>
      </w:pPr>
    </w:p>
    <w:p>
      <w:pPr>
        <w:widowControl/>
        <w:shd w:val="clear" w:color="auto" w:fill="FFFFFF"/>
        <w:jc w:val="left"/>
        <w:rPr>
          <w:rFonts w:ascii="宋体" w:eastAsia="宋体" w:cs="宋体"/>
          <w:color w:val="101010"/>
          <w:kern w:val="0"/>
          <w:sz w:val="28"/>
          <w:szCs w:val="28"/>
        </w:rPr>
      </w:pPr>
    </w:p>
    <w:p>
      <w:pPr>
        <w:widowControl/>
        <w:shd w:val="clear" w:color="auto" w:fill="FFFFFF"/>
        <w:jc w:val="left"/>
        <w:rPr>
          <w:rFonts w:ascii="宋体" w:eastAsia="宋体" w:cs="宋体"/>
          <w:color w:val="101010"/>
          <w:kern w:val="0"/>
          <w:sz w:val="28"/>
          <w:szCs w:val="28"/>
        </w:rPr>
      </w:pPr>
    </w:p>
    <w:p>
      <w:pPr>
        <w:widowControl/>
        <w:shd w:val="clear" w:color="auto" w:fill="FFFFFF"/>
        <w:jc w:val="left"/>
        <w:rPr>
          <w:rFonts w:ascii="宋体" w:eastAsia="宋体" w:cs="宋体"/>
          <w:color w:val="101010"/>
          <w:kern w:val="0"/>
          <w:sz w:val="28"/>
          <w:szCs w:val="28"/>
        </w:rPr>
      </w:pPr>
      <w:r>
        <w:rPr>
          <w:rFonts w:ascii="宋体" w:eastAsia="宋体" w:cs="宋体" w:hint="eastAsia"/>
          <w:color w:val="101010"/>
          <w:kern w:val="0"/>
          <w:sz w:val="28"/>
          <w:szCs w:val="28"/>
        </w:rPr>
        <w:t>附：</w:t>
      </w:r>
    </w:p>
    <w:p>
      <w:pPr>
        <w:widowControl/>
        <w:shd w:val="clear" w:color="auto" w:fill="FFFFFF"/>
        <w:ind w:firstLineChars="750" w:firstLine="1800"/>
        <w:jc w:val="left"/>
        <w:rPr>
          <w:rFonts w:ascii="宋体" w:eastAsia="宋体" w:cs="宋体"/>
          <w:color w:val="101010"/>
          <w:kern w:val="0"/>
          <w:sz w:val="24"/>
          <w:szCs w:val="24"/>
        </w:rPr>
      </w:pPr>
      <w:r>
        <w:rPr>
          <w:rFonts w:ascii="宋体" w:eastAsia="宋体" w:cs="宋体" w:hint="eastAsia"/>
          <w:b/>
          <w:bCs/>
          <w:color w:val="101010"/>
          <w:kern w:val="0"/>
          <w:sz w:val="24"/>
          <w:szCs w:val="24"/>
        </w:rPr>
        <w:t>吉林省社会科学研究“十三五”规划学科分类</w:t>
      </w:r>
    </w:p>
    <w:p>
      <w:pPr>
        <w:widowControl/>
        <w:shd w:val="clear" w:color="auto" w:fill="FFFFFF"/>
        <w:jc w:val="center"/>
        <w:rPr>
          <w:rFonts w:ascii="宋体" w:eastAsia="宋体" w:cs="宋体"/>
          <w:color w:val="101010"/>
          <w:kern w:val="0"/>
          <w:sz w:val="24"/>
          <w:szCs w:val="24"/>
        </w:rPr>
      </w:pPr>
      <w:r>
        <w:rPr>
          <w:rFonts w:ascii="宋体" w:eastAsia="宋体" w:cs="宋体" w:hint="eastAsia"/>
          <w:color w:val="101010"/>
          <w:kern w:val="0"/>
          <w:sz w:val="24"/>
          <w:szCs w:val="24"/>
        </w:rPr>
        <w:t>（暂定学科领域）</w:t>
      </w:r>
    </w:p>
    <w:p>
      <w:pPr>
        <w:widowControl/>
        <w:shd w:val="clear" w:color="auto" w:fill="FFFFFF"/>
        <w:jc w:val="center"/>
        <w:rPr>
          <w:rFonts w:ascii="宋体" w:eastAsia="宋体" w:cs="宋体"/>
          <w:color w:val="101010"/>
          <w:kern w:val="0"/>
          <w:sz w:val="24"/>
          <w:szCs w:val="24"/>
        </w:rPr>
      </w:pPr>
      <w:r>
        <w:rPr>
          <w:rFonts w:ascii="宋体" w:eastAsia="宋体" w:cs="宋体" w:hint="eastAsia"/>
          <w:color w:val="101010"/>
          <w:kern w:val="0"/>
          <w:sz w:val="24"/>
          <w:szCs w:val="24"/>
        </w:rPr>
        <w:t>-------------------------------------------------------------------------</w:t>
      </w:r>
    </w:p>
    <w:p>
      <w:pPr>
        <w:widowControl/>
        <w:shd w:val="clear" w:color="auto" w:fill="FFFFFF"/>
        <w:jc w:val="left"/>
        <w:rPr>
          <w:rFonts w:ascii="宋体" w:eastAsia="宋体" w:cs="宋体"/>
          <w:color w:val="101010"/>
          <w:kern w:val="0"/>
          <w:sz w:val="24"/>
          <w:szCs w:val="24"/>
        </w:rPr>
      </w:pPr>
      <w:r>
        <w:rPr>
          <w:rFonts w:ascii="宋体" w:eastAsia="宋体" w:cs="宋体" w:hint="eastAsia"/>
          <w:color w:val="101010"/>
          <w:kern w:val="0"/>
          <w:sz w:val="24"/>
          <w:szCs w:val="24"/>
        </w:rPr>
        <w:t> </w:t>
      </w:r>
    </w:p>
    <w:tbl>
      <w:tblPr>
        <w:jc w:val="center"/>
        <w:tblW w:w="9449" w:type="dxa"/>
        <w:tblBorders>
          <w:top w:val="outset" w:sz="6" w:space="0" w:color="auto"/>
          <w:left w:val="outset" w:sz="6" w:space="0" w:color="auto"/>
          <w:bottom w:val="outset" w:sz="6" w:space="0" w:color="auto"/>
          <w:right w:val="outset" w:sz="6" w:space="0" w:color="auto"/>
        </w:tblBorders>
        <w:tblCellMar>
          <w:top w:w="0" w:type="dxa"/>
          <w:left w:w="0" w:type="dxa"/>
          <w:bottom w:w="0" w:type="dxa"/>
          <w:right w:w="0" w:type="dxa"/>
        </w:tblCellMar>
      </w:tblPr>
      <w:tblGrid>
        <w:gridCol w:w="735"/>
        <w:gridCol w:w="1470"/>
        <w:gridCol w:w="7244"/>
      </w:tblGrid>
      <w:tr>
        <w:tc>
          <w:tcPr>
            <w:tcW w:w="735"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b/>
                <w:bCs/>
                <w:color w:val="101010"/>
                <w:kern w:val="0"/>
                <w:sz w:val="24"/>
                <w:szCs w:val="24"/>
              </w:rPr>
            </w:pPr>
            <w:r>
              <w:rPr>
                <w:rFonts w:ascii="宋体" w:eastAsia="宋体" w:cs="宋体" w:hint="eastAsia"/>
                <w:b/>
                <w:bCs/>
                <w:color w:val="101010"/>
                <w:kern w:val="0"/>
                <w:sz w:val="24"/>
                <w:szCs w:val="24"/>
              </w:rPr>
              <w:t> </w:t>
            </w:r>
          </w:p>
          <w:p>
            <w:pPr>
              <w:widowControl/>
              <w:jc w:val="center"/>
              <w:rPr>
                <w:rFonts w:ascii="宋体" w:eastAsia="宋体" w:cs="宋体"/>
                <w:b/>
                <w:bCs/>
                <w:color w:val="101010"/>
                <w:kern w:val="0"/>
                <w:sz w:val="24"/>
                <w:szCs w:val="24"/>
              </w:rPr>
            </w:pPr>
            <w:r>
              <w:rPr>
                <w:rFonts w:ascii="宋体" w:eastAsia="宋体" w:cs="宋体" w:hint="eastAsia"/>
                <w:b/>
                <w:bCs/>
                <w:color w:val="101010"/>
                <w:kern w:val="0"/>
                <w:sz w:val="24"/>
                <w:szCs w:val="24"/>
              </w:rPr>
              <w:t>序 号</w:t>
            </w:r>
          </w:p>
        </w:tc>
        <w:tc>
          <w:tcPr>
            <w:tcW w:w="1470"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b/>
                <w:bCs/>
                <w:color w:val="101010"/>
                <w:kern w:val="0"/>
                <w:sz w:val="24"/>
                <w:szCs w:val="24"/>
              </w:rPr>
            </w:pPr>
            <w:r>
              <w:rPr>
                <w:rFonts w:ascii="宋体" w:eastAsia="宋体" w:cs="宋体" w:hint="eastAsia"/>
                <w:b/>
                <w:bCs/>
                <w:color w:val="101010"/>
                <w:kern w:val="0"/>
                <w:sz w:val="24"/>
                <w:szCs w:val="24"/>
              </w:rPr>
              <w:t> </w:t>
            </w:r>
          </w:p>
          <w:p>
            <w:pPr>
              <w:widowControl/>
              <w:jc w:val="center"/>
              <w:rPr>
                <w:rFonts w:ascii="宋体" w:eastAsia="宋体" w:cs="宋体"/>
                <w:b/>
                <w:bCs/>
                <w:color w:val="101010"/>
                <w:kern w:val="0"/>
                <w:sz w:val="24"/>
                <w:szCs w:val="24"/>
              </w:rPr>
            </w:pPr>
            <w:r>
              <w:rPr>
                <w:rFonts w:ascii="宋体" w:eastAsia="宋体" w:cs="宋体" w:hint="eastAsia"/>
                <w:b/>
                <w:bCs/>
                <w:color w:val="101010"/>
                <w:kern w:val="0"/>
                <w:sz w:val="24"/>
                <w:szCs w:val="24"/>
              </w:rPr>
              <w:t>学科名称</w:t>
            </w:r>
          </w:p>
        </w:tc>
        <w:tc>
          <w:tcPr>
            <w:tcW w:w="7244"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b/>
                <w:bCs/>
                <w:color w:val="101010"/>
                <w:kern w:val="0"/>
                <w:sz w:val="24"/>
                <w:szCs w:val="24"/>
              </w:rPr>
            </w:pPr>
            <w:r>
              <w:rPr>
                <w:rFonts w:ascii="宋体" w:eastAsia="宋体" w:cs="宋体" w:hint="eastAsia"/>
                <w:b/>
                <w:bCs/>
                <w:color w:val="101010"/>
                <w:kern w:val="0"/>
                <w:sz w:val="24"/>
                <w:szCs w:val="24"/>
              </w:rPr>
              <w:t> </w:t>
            </w:r>
          </w:p>
          <w:p>
            <w:pPr>
              <w:widowControl/>
              <w:jc w:val="center"/>
              <w:rPr>
                <w:rFonts w:ascii="宋体" w:eastAsia="宋体" w:cs="宋体"/>
                <w:b/>
                <w:bCs/>
                <w:color w:val="101010"/>
                <w:kern w:val="0"/>
                <w:sz w:val="24"/>
                <w:szCs w:val="24"/>
              </w:rPr>
            </w:pPr>
            <w:r>
              <w:rPr>
                <w:rFonts w:ascii="宋体" w:eastAsia="宋体" w:cs="宋体" w:hint="eastAsia"/>
                <w:b/>
                <w:bCs/>
                <w:color w:val="101010"/>
                <w:kern w:val="0"/>
                <w:sz w:val="24"/>
                <w:szCs w:val="24"/>
              </w:rPr>
              <w:t>内含相关学科及领域</w:t>
            </w:r>
          </w:p>
        </w:tc>
      </w:tr>
      <w:tr>
        <w:tc>
          <w:tcPr>
            <w:tcW w:w="735"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1</w:t>
            </w:r>
          </w:p>
        </w:tc>
        <w:tc>
          <w:tcPr>
            <w:tcW w:w="1470"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政治学</w:t>
            </w:r>
          </w:p>
        </w:tc>
        <w:tc>
          <w:tcPr>
            <w:tcW w:w="7244" w:type="dxa"/>
            <w:tcBorders>
              <w:top w:val="outset" w:sz="6" w:space="0" w:color="auto"/>
              <w:left w:val="outset" w:sz="6" w:space="0" w:color="auto"/>
              <w:bottom w:val="outset" w:sz="6" w:space="0" w:color="auto"/>
              <w:right w:val="outset" w:sz="6" w:space="0" w:color="auto"/>
            </w:tcBorders>
            <w:shd w:val="clear" w:color="auto" w:fill="FFFFFF"/>
          </w:tcPr>
          <w:p>
            <w:pPr>
              <w:widowControl/>
              <w:jc w:val="left"/>
              <w:rPr>
                <w:rFonts w:ascii="宋体" w:eastAsia="宋体" w:cs="宋体"/>
                <w:color w:val="101010"/>
                <w:kern w:val="0"/>
                <w:sz w:val="24"/>
                <w:szCs w:val="24"/>
              </w:rPr>
            </w:pPr>
            <w:r>
              <w:rPr>
                <w:rFonts w:ascii="宋体" w:eastAsia="宋体" w:cs="宋体" w:hint="eastAsia"/>
                <w:color w:val="101010"/>
                <w:kern w:val="0"/>
                <w:sz w:val="24"/>
                <w:szCs w:val="24"/>
              </w:rPr>
              <w:t>中共党史党建、马克思主义理论、科学社会主义、思想政治教育、国际关系学、外交学等。</w:t>
            </w:r>
          </w:p>
        </w:tc>
      </w:tr>
      <w:tr>
        <w:tc>
          <w:tcPr>
            <w:tcW w:w="735"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2</w:t>
            </w:r>
          </w:p>
        </w:tc>
        <w:tc>
          <w:tcPr>
            <w:tcW w:w="1470"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哲学</w:t>
            </w:r>
          </w:p>
        </w:tc>
        <w:tc>
          <w:tcPr>
            <w:tcW w:w="7244" w:type="dxa"/>
            <w:tcBorders>
              <w:top w:val="outset" w:sz="6" w:space="0" w:color="auto"/>
              <w:left w:val="outset" w:sz="6" w:space="0" w:color="auto"/>
              <w:bottom w:val="outset" w:sz="6" w:space="0" w:color="auto"/>
              <w:right w:val="outset" w:sz="6" w:space="0" w:color="auto"/>
            </w:tcBorders>
            <w:shd w:val="clear" w:color="auto" w:fill="FFFFFF"/>
          </w:tcPr>
          <w:p>
            <w:pPr>
              <w:widowControl/>
              <w:jc w:val="left"/>
              <w:rPr>
                <w:rFonts w:ascii="宋体" w:eastAsia="宋体" w:cs="宋体"/>
                <w:color w:val="101010"/>
                <w:kern w:val="0"/>
                <w:sz w:val="24"/>
                <w:szCs w:val="24"/>
              </w:rPr>
            </w:pPr>
            <w:r>
              <w:rPr>
                <w:rFonts w:ascii="宋体" w:eastAsia="宋体" w:cs="宋体" w:hint="eastAsia"/>
                <w:color w:val="101010"/>
                <w:kern w:val="0"/>
                <w:sz w:val="24"/>
                <w:szCs w:val="24"/>
              </w:rPr>
              <w:t>逻辑学、伦理学、美学、宗教学、科学技术哲学等。</w:t>
            </w:r>
          </w:p>
        </w:tc>
      </w:tr>
      <w:tr>
        <w:tc>
          <w:tcPr>
            <w:tcW w:w="735"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3</w:t>
            </w:r>
          </w:p>
        </w:tc>
        <w:tc>
          <w:tcPr>
            <w:tcW w:w="1470"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经济学</w:t>
            </w:r>
          </w:p>
        </w:tc>
        <w:tc>
          <w:tcPr>
            <w:tcW w:w="7244" w:type="dxa"/>
            <w:tcBorders>
              <w:top w:val="outset" w:sz="6" w:space="0" w:color="auto"/>
              <w:left w:val="outset" w:sz="6" w:space="0" w:color="auto"/>
              <w:bottom w:val="outset" w:sz="6" w:space="0" w:color="auto"/>
              <w:right w:val="outset" w:sz="6" w:space="0" w:color="auto"/>
            </w:tcBorders>
            <w:shd w:val="clear" w:color="auto" w:fill="FFFFFF"/>
          </w:tcPr>
          <w:p>
            <w:pPr>
              <w:widowControl/>
              <w:jc w:val="left"/>
              <w:rPr>
                <w:rFonts w:ascii="宋体" w:eastAsia="宋体" w:cs="宋体"/>
                <w:color w:val="101010"/>
                <w:kern w:val="0"/>
                <w:sz w:val="24"/>
                <w:szCs w:val="24"/>
              </w:rPr>
            </w:pPr>
            <w:r>
              <w:rPr>
                <w:rFonts w:ascii="宋体" w:eastAsia="宋体" w:cs="宋体" w:hint="eastAsia"/>
                <w:color w:val="333333"/>
                <w:kern w:val="0"/>
                <w:sz w:val="24"/>
                <w:szCs w:val="24"/>
              </w:rPr>
              <w:fldChar w:fldCharType="begin"/>
            </w:r>
            <w:r>
              <w:instrText>HYPERLINK "http://lib.utsz.edu.cn/viewChannel.jsp?channel=1085"</w:instrText>
            </w:r>
            <w:r>
              <w:rPr>
                <w:rFonts w:ascii="宋体" w:eastAsia="宋体" w:cs="宋体" w:hint="eastAsia"/>
                <w:color w:val="333333"/>
                <w:kern w:val="0"/>
                <w:sz w:val="24"/>
                <w:szCs w:val="24"/>
              </w:rPr>
              <w:fldChar w:fldCharType="separate"/>
            </w:r>
            <w:r>
              <w:rPr>
                <w:rFonts w:ascii="宋体" w:eastAsia="宋体" w:cs="宋体" w:hint="eastAsia"/>
                <w:color w:val="333333"/>
                <w:kern w:val="0"/>
                <w:sz w:val="24"/>
                <w:szCs w:val="24"/>
              </w:rPr>
              <w:t>经济史</w:t>
            </w:r>
            <w:r>
              <w:rPr>
                <w:rFonts w:ascii="宋体" w:eastAsia="宋体" w:cs="宋体" w:hint="eastAsia"/>
                <w:color w:val="333333"/>
                <w:kern w:val="0"/>
                <w:sz w:val="24"/>
                <w:szCs w:val="24"/>
              </w:rPr>
              <w:fldChar w:fldCharType="end"/>
            </w:r>
            <w:r>
              <w:rPr>
                <w:rFonts w:ascii="宋体" w:eastAsia="宋体" w:cs="宋体" w:hint="eastAsia"/>
                <w:color w:val="101010"/>
                <w:kern w:val="0"/>
                <w:sz w:val="24"/>
                <w:szCs w:val="24"/>
              </w:rPr>
              <w:t>、经济学说史、</w:t>
            </w:r>
            <w:r>
              <w:rPr>
                <w:rFonts w:ascii="宋体" w:eastAsia="宋体" w:cs="宋体" w:hint="eastAsia"/>
                <w:color w:val="333333"/>
                <w:kern w:val="0"/>
                <w:sz w:val="24"/>
                <w:szCs w:val="24"/>
              </w:rPr>
              <w:fldChar w:fldCharType="begin"/>
            </w:r>
            <w:r>
              <w:instrText>HYPERLINK "http://lib.utsz.edu.cn/viewChannel.jsp?channel=1086"</w:instrText>
            </w:r>
            <w:r>
              <w:rPr>
                <w:rFonts w:ascii="宋体" w:eastAsia="宋体" w:cs="宋体" w:hint="eastAsia"/>
                <w:color w:val="333333"/>
                <w:kern w:val="0"/>
                <w:sz w:val="24"/>
                <w:szCs w:val="24"/>
              </w:rPr>
              <w:fldChar w:fldCharType="separate"/>
            </w:r>
            <w:r>
              <w:rPr>
                <w:rFonts w:ascii="宋体" w:eastAsia="宋体" w:cs="宋体" w:hint="eastAsia"/>
                <w:color w:val="333333"/>
                <w:kern w:val="0"/>
                <w:sz w:val="24"/>
                <w:szCs w:val="24"/>
              </w:rPr>
              <w:t>经济思想史</w:t>
            </w:r>
            <w:r>
              <w:rPr>
                <w:rFonts w:ascii="宋体" w:eastAsia="宋体" w:cs="宋体" w:hint="eastAsia"/>
                <w:color w:val="333333"/>
                <w:kern w:val="0"/>
                <w:sz w:val="24"/>
                <w:szCs w:val="24"/>
              </w:rPr>
              <w:fldChar w:fldCharType="end"/>
            </w:r>
            <w:r>
              <w:rPr>
                <w:rFonts w:ascii="宋体" w:eastAsia="宋体" w:cs="宋体" w:hint="eastAsia"/>
                <w:color w:val="101010"/>
                <w:kern w:val="0"/>
                <w:sz w:val="24"/>
                <w:szCs w:val="24"/>
              </w:rPr>
              <w:t>、</w:t>
            </w:r>
            <w:r>
              <w:rPr>
                <w:rFonts w:ascii="宋体" w:eastAsia="宋体" w:cs="宋体" w:hint="eastAsia"/>
                <w:color w:val="333333"/>
                <w:kern w:val="0"/>
                <w:sz w:val="24"/>
                <w:szCs w:val="24"/>
              </w:rPr>
              <w:fldChar w:fldCharType="begin"/>
            </w:r>
            <w:r>
              <w:instrText>HYPERLINK "http://lib.utsz.edu.cn/viewChannel.jsp?channel=1089"</w:instrText>
            </w:r>
            <w:r>
              <w:rPr>
                <w:rFonts w:ascii="宋体" w:eastAsia="宋体" w:cs="宋体" w:hint="eastAsia"/>
                <w:color w:val="333333"/>
                <w:kern w:val="0"/>
                <w:sz w:val="24"/>
                <w:szCs w:val="24"/>
              </w:rPr>
              <w:fldChar w:fldCharType="separate"/>
            </w:r>
            <w:r>
              <w:rPr>
                <w:rFonts w:ascii="宋体" w:eastAsia="宋体" w:cs="宋体" w:hint="eastAsia"/>
                <w:color w:val="333333"/>
                <w:kern w:val="0"/>
                <w:sz w:val="24"/>
                <w:szCs w:val="24"/>
              </w:rPr>
              <w:t>政治经济学</w:t>
            </w:r>
            <w:r>
              <w:rPr>
                <w:rFonts w:ascii="宋体" w:eastAsia="宋体" w:cs="宋体" w:hint="eastAsia"/>
                <w:color w:val="333333"/>
                <w:kern w:val="0"/>
                <w:sz w:val="24"/>
                <w:szCs w:val="24"/>
              </w:rPr>
              <w:fldChar w:fldCharType="end"/>
            </w:r>
            <w:r>
              <w:rPr>
                <w:rFonts w:ascii="宋体" w:eastAsia="宋体" w:cs="宋体" w:hint="eastAsia"/>
                <w:color w:val="101010"/>
                <w:kern w:val="0"/>
                <w:sz w:val="24"/>
                <w:szCs w:val="24"/>
              </w:rPr>
              <w:t>、</w:t>
            </w:r>
            <w:r>
              <w:rPr>
                <w:rFonts w:ascii="宋体" w:eastAsia="宋体" w:cs="宋体" w:hint="eastAsia"/>
                <w:color w:val="333333"/>
                <w:kern w:val="0"/>
                <w:sz w:val="24"/>
                <w:szCs w:val="24"/>
              </w:rPr>
              <w:fldChar w:fldCharType="begin"/>
            </w:r>
            <w:r>
              <w:instrText>HYPERLINK "http://lib.utsz.edu.cn/viewChannel.jsp?channel=1088"</w:instrText>
            </w:r>
            <w:r>
              <w:rPr>
                <w:rFonts w:ascii="宋体" w:eastAsia="宋体" w:cs="宋体" w:hint="eastAsia"/>
                <w:color w:val="333333"/>
                <w:kern w:val="0"/>
                <w:sz w:val="24"/>
                <w:szCs w:val="24"/>
              </w:rPr>
              <w:fldChar w:fldCharType="separate"/>
            </w:r>
            <w:r>
              <w:rPr>
                <w:rFonts w:ascii="宋体" w:eastAsia="宋体" w:cs="宋体" w:hint="eastAsia"/>
                <w:color w:val="333333"/>
                <w:kern w:val="0"/>
                <w:sz w:val="24"/>
                <w:szCs w:val="24"/>
              </w:rPr>
              <w:t>西方经济学</w:t>
            </w:r>
            <w:r>
              <w:rPr>
                <w:rFonts w:ascii="宋体" w:eastAsia="宋体" w:cs="宋体" w:hint="eastAsia"/>
                <w:color w:val="333333"/>
                <w:kern w:val="0"/>
                <w:sz w:val="24"/>
                <w:szCs w:val="24"/>
              </w:rPr>
              <w:fldChar w:fldCharType="end"/>
            </w:r>
            <w:r>
              <w:rPr>
                <w:rFonts w:ascii="宋体" w:eastAsia="宋体" w:cs="宋体" w:hint="eastAsia"/>
                <w:color w:val="101010"/>
                <w:kern w:val="0"/>
                <w:sz w:val="24"/>
                <w:szCs w:val="24"/>
              </w:rPr>
              <w:t>、</w:t>
            </w:r>
            <w:r>
              <w:rPr>
                <w:rFonts w:ascii="宋体" w:eastAsia="宋体" w:cs="宋体" w:hint="eastAsia"/>
                <w:color w:val="333333"/>
                <w:kern w:val="0"/>
                <w:sz w:val="24"/>
                <w:szCs w:val="24"/>
              </w:rPr>
              <w:fldChar w:fldCharType="begin"/>
            </w:r>
            <w:r>
              <w:instrText>HYPERLINK "http://lib.utsz.edu.cn/viewChannel.jsp?channel=1087"</w:instrText>
            </w:r>
            <w:r>
              <w:rPr>
                <w:rFonts w:ascii="宋体" w:eastAsia="宋体" w:cs="宋体" w:hint="eastAsia"/>
                <w:color w:val="333333"/>
                <w:kern w:val="0"/>
                <w:sz w:val="24"/>
                <w:szCs w:val="24"/>
              </w:rPr>
              <w:fldChar w:fldCharType="separate"/>
            </w:r>
            <w:r>
              <w:rPr>
                <w:rFonts w:ascii="宋体" w:eastAsia="宋体" w:cs="宋体" w:hint="eastAsia"/>
                <w:color w:val="333333"/>
                <w:kern w:val="0"/>
                <w:sz w:val="24"/>
                <w:szCs w:val="24"/>
              </w:rPr>
              <w:t>世界经济</w:t>
            </w:r>
            <w:r>
              <w:rPr>
                <w:rFonts w:ascii="宋体" w:eastAsia="宋体" w:cs="宋体" w:hint="eastAsia"/>
                <w:color w:val="333333"/>
                <w:kern w:val="0"/>
                <w:sz w:val="24"/>
                <w:szCs w:val="24"/>
              </w:rPr>
              <w:fldChar w:fldCharType="end"/>
            </w:r>
            <w:r>
              <w:rPr>
                <w:rFonts w:ascii="宋体" w:eastAsia="宋体" w:cs="宋体" w:hint="eastAsia"/>
                <w:color w:val="101010"/>
                <w:kern w:val="0"/>
                <w:sz w:val="24"/>
                <w:szCs w:val="24"/>
              </w:rPr>
              <w:t>学、宏微观经济学等；国民经济、行业经济、区域经济、国际经济贸易等。</w:t>
            </w:r>
          </w:p>
        </w:tc>
      </w:tr>
      <w:tr>
        <w:tc>
          <w:tcPr>
            <w:tcW w:w="735"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4</w:t>
            </w:r>
          </w:p>
        </w:tc>
        <w:tc>
          <w:tcPr>
            <w:tcW w:w="1470"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管理学</w:t>
            </w:r>
          </w:p>
        </w:tc>
        <w:tc>
          <w:tcPr>
            <w:tcW w:w="7244" w:type="dxa"/>
            <w:tcBorders>
              <w:top w:val="outset" w:sz="6" w:space="0" w:color="auto"/>
              <w:left w:val="outset" w:sz="6" w:space="0" w:color="auto"/>
              <w:bottom w:val="outset" w:sz="6" w:space="0" w:color="auto"/>
              <w:right w:val="outset" w:sz="6" w:space="0" w:color="auto"/>
            </w:tcBorders>
            <w:shd w:val="clear" w:color="auto" w:fill="FFFFFF"/>
          </w:tcPr>
          <w:p>
            <w:pPr>
              <w:widowControl/>
              <w:jc w:val="left"/>
              <w:rPr>
                <w:rFonts w:ascii="宋体" w:eastAsia="宋体" w:cs="宋体"/>
                <w:color w:val="101010"/>
                <w:kern w:val="0"/>
                <w:sz w:val="24"/>
                <w:szCs w:val="24"/>
              </w:rPr>
            </w:pPr>
            <w:r>
              <w:rPr>
                <w:rFonts w:ascii="宋体" w:eastAsia="宋体" w:cs="宋体" w:hint="eastAsia"/>
                <w:color w:val="101010"/>
                <w:kern w:val="0"/>
                <w:sz w:val="24"/>
                <w:szCs w:val="24"/>
              </w:rPr>
              <w:t>工商管理学、公共管理学、行政管理学、图书馆学、情报学、档案学、企业经营管理等。</w:t>
            </w:r>
          </w:p>
        </w:tc>
      </w:tr>
      <w:tr>
        <w:tc>
          <w:tcPr>
            <w:tcW w:w="735"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5</w:t>
            </w:r>
          </w:p>
        </w:tc>
        <w:tc>
          <w:tcPr>
            <w:tcW w:w="1470"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法学</w:t>
            </w:r>
          </w:p>
        </w:tc>
        <w:tc>
          <w:tcPr>
            <w:tcW w:w="7244" w:type="dxa"/>
            <w:tcBorders>
              <w:top w:val="outset" w:sz="6" w:space="0" w:color="auto"/>
              <w:left w:val="outset" w:sz="6" w:space="0" w:color="auto"/>
              <w:bottom w:val="outset" w:sz="6" w:space="0" w:color="auto"/>
              <w:right w:val="outset" w:sz="6" w:space="0" w:color="auto"/>
            </w:tcBorders>
            <w:shd w:val="clear" w:color="auto" w:fill="FFFFFF"/>
          </w:tcPr>
          <w:p>
            <w:pPr>
              <w:widowControl/>
              <w:jc w:val="left"/>
              <w:rPr>
                <w:rFonts w:ascii="宋体" w:eastAsia="宋体" w:cs="宋体"/>
                <w:color w:val="101010"/>
                <w:kern w:val="0"/>
                <w:sz w:val="24"/>
                <w:szCs w:val="24"/>
              </w:rPr>
            </w:pPr>
            <w:r>
              <w:rPr>
                <w:rFonts w:ascii="宋体" w:eastAsia="宋体" w:cs="宋体" w:hint="eastAsia"/>
                <w:color w:val="101010"/>
                <w:kern w:val="0"/>
                <w:sz w:val="24"/>
                <w:szCs w:val="24"/>
              </w:rPr>
              <w:t>行政法学、刑法学、经济法学、国际法学、军事法学等。</w:t>
            </w:r>
          </w:p>
        </w:tc>
      </w:tr>
      <w:tr>
        <w:tc>
          <w:tcPr>
            <w:tcW w:w="735"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6</w:t>
            </w:r>
          </w:p>
        </w:tc>
        <w:tc>
          <w:tcPr>
            <w:tcW w:w="1470"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社会学</w:t>
            </w:r>
          </w:p>
        </w:tc>
        <w:tc>
          <w:tcPr>
            <w:tcW w:w="7244" w:type="dxa"/>
            <w:tcBorders>
              <w:top w:val="outset" w:sz="6" w:space="0" w:color="auto"/>
              <w:left w:val="outset" w:sz="6" w:space="0" w:color="auto"/>
              <w:bottom w:val="outset" w:sz="6" w:space="0" w:color="auto"/>
              <w:right w:val="outset" w:sz="6" w:space="0" w:color="auto"/>
            </w:tcBorders>
            <w:shd w:val="clear" w:color="auto" w:fill="FFFFFF"/>
          </w:tcPr>
          <w:p>
            <w:pPr>
              <w:widowControl/>
              <w:jc w:val="left"/>
              <w:rPr>
                <w:rFonts w:ascii="宋体" w:eastAsia="宋体" w:cs="宋体"/>
                <w:color w:val="101010"/>
                <w:kern w:val="0"/>
                <w:sz w:val="24"/>
                <w:szCs w:val="24"/>
              </w:rPr>
            </w:pPr>
            <w:r>
              <w:rPr>
                <w:rFonts w:ascii="宋体" w:eastAsia="宋体" w:cs="宋体" w:hint="eastAsia"/>
                <w:color w:val="101010"/>
                <w:kern w:val="0"/>
                <w:sz w:val="24"/>
                <w:szCs w:val="24"/>
              </w:rPr>
              <w:t>社会保障学、人口学、人类学、民俗学、民族学等。</w:t>
            </w:r>
          </w:p>
        </w:tc>
      </w:tr>
      <w:tr>
        <w:tc>
          <w:tcPr>
            <w:tcW w:w="735"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7</w:t>
            </w:r>
          </w:p>
        </w:tc>
        <w:tc>
          <w:tcPr>
            <w:tcW w:w="1470"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教育学</w:t>
            </w:r>
          </w:p>
        </w:tc>
        <w:tc>
          <w:tcPr>
            <w:tcW w:w="7244" w:type="dxa"/>
            <w:tcBorders>
              <w:top w:val="outset" w:sz="6" w:space="0" w:color="auto"/>
              <w:left w:val="outset" w:sz="6" w:space="0" w:color="auto"/>
              <w:bottom w:val="outset" w:sz="6" w:space="0" w:color="auto"/>
              <w:right w:val="outset" w:sz="6" w:space="0" w:color="auto"/>
            </w:tcBorders>
            <w:shd w:val="clear" w:color="auto" w:fill="FFFFFF"/>
          </w:tcPr>
          <w:p>
            <w:pPr>
              <w:widowControl/>
              <w:jc w:val="left"/>
              <w:rPr>
                <w:rFonts w:ascii="宋体" w:eastAsia="宋体" w:cs="宋体"/>
                <w:color w:val="101010"/>
                <w:kern w:val="0"/>
                <w:sz w:val="24"/>
                <w:szCs w:val="24"/>
              </w:rPr>
            </w:pPr>
            <w:r>
              <w:rPr>
                <w:rFonts w:ascii="宋体" w:eastAsia="宋体" w:cs="宋体" w:hint="eastAsia"/>
                <w:color w:val="101010"/>
                <w:kern w:val="0"/>
                <w:sz w:val="24"/>
                <w:szCs w:val="24"/>
              </w:rPr>
              <w:t>教育史、教学论、德育原理、人才学、心理学等。</w:t>
            </w:r>
          </w:p>
        </w:tc>
      </w:tr>
      <w:tr>
        <w:tc>
          <w:tcPr>
            <w:tcW w:w="735"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8</w:t>
            </w:r>
          </w:p>
        </w:tc>
        <w:tc>
          <w:tcPr>
            <w:tcW w:w="1470"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体育学</w:t>
            </w:r>
          </w:p>
        </w:tc>
        <w:tc>
          <w:tcPr>
            <w:tcW w:w="7244" w:type="dxa"/>
            <w:tcBorders>
              <w:top w:val="outset" w:sz="6" w:space="0" w:color="auto"/>
              <w:left w:val="outset" w:sz="6" w:space="0" w:color="auto"/>
              <w:bottom w:val="outset" w:sz="6" w:space="0" w:color="auto"/>
              <w:right w:val="outset" w:sz="6" w:space="0" w:color="auto"/>
            </w:tcBorders>
            <w:shd w:val="clear" w:color="auto" w:fill="FFFFFF"/>
          </w:tcPr>
          <w:p>
            <w:pPr>
              <w:widowControl/>
              <w:jc w:val="left"/>
              <w:rPr>
                <w:rFonts w:ascii="宋体" w:eastAsia="宋体" w:cs="宋体"/>
                <w:color w:val="101010"/>
                <w:kern w:val="0"/>
                <w:sz w:val="24"/>
                <w:szCs w:val="24"/>
              </w:rPr>
            </w:pPr>
            <w:r>
              <w:rPr>
                <w:rFonts w:ascii="宋体" w:eastAsia="宋体" w:cs="宋体" w:hint="eastAsia"/>
                <w:color w:val="101010"/>
                <w:kern w:val="0"/>
                <w:sz w:val="24"/>
                <w:szCs w:val="24"/>
              </w:rPr>
              <w:t>体育史学、体育经济学、体育产业学、体育法学、体育心理学、体育人才学、体育社会学、体育美学等。</w:t>
            </w:r>
          </w:p>
        </w:tc>
      </w:tr>
      <w:tr>
        <w:tc>
          <w:tcPr>
            <w:tcW w:w="735"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9</w:t>
            </w:r>
          </w:p>
        </w:tc>
        <w:tc>
          <w:tcPr>
            <w:tcW w:w="1470"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汉语文学</w:t>
            </w:r>
          </w:p>
        </w:tc>
        <w:tc>
          <w:tcPr>
            <w:tcW w:w="7244" w:type="dxa"/>
            <w:tcBorders>
              <w:top w:val="outset" w:sz="6" w:space="0" w:color="auto"/>
              <w:left w:val="outset" w:sz="6" w:space="0" w:color="auto"/>
              <w:bottom w:val="outset" w:sz="6" w:space="0" w:color="auto"/>
              <w:right w:val="outset" w:sz="6" w:space="0" w:color="auto"/>
            </w:tcBorders>
            <w:shd w:val="clear" w:color="auto" w:fill="FFFFFF"/>
          </w:tcPr>
          <w:p>
            <w:pPr>
              <w:widowControl/>
              <w:jc w:val="left"/>
              <w:rPr>
                <w:rFonts w:ascii="宋体" w:eastAsia="宋体" w:cs="宋体"/>
                <w:color w:val="101010"/>
                <w:kern w:val="0"/>
                <w:sz w:val="24"/>
                <w:szCs w:val="24"/>
              </w:rPr>
            </w:pPr>
            <w:r>
              <w:rPr>
                <w:rFonts w:ascii="宋体" w:eastAsia="宋体" w:cs="宋体" w:hint="eastAsia"/>
                <w:color w:val="101010"/>
                <w:kern w:val="0"/>
                <w:sz w:val="24"/>
                <w:szCs w:val="24"/>
              </w:rPr>
              <w:t>民间文学、新闻传播学、艺术学、电影学、舞蹈学、文学文化等。</w:t>
            </w:r>
          </w:p>
        </w:tc>
      </w:tr>
      <w:tr>
        <w:tc>
          <w:tcPr>
            <w:tcW w:w="735"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10</w:t>
            </w:r>
          </w:p>
        </w:tc>
        <w:tc>
          <w:tcPr>
            <w:tcW w:w="1470"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历史学</w:t>
            </w:r>
          </w:p>
        </w:tc>
        <w:tc>
          <w:tcPr>
            <w:tcW w:w="7244" w:type="dxa"/>
            <w:tcBorders>
              <w:top w:val="outset" w:sz="6" w:space="0" w:color="auto"/>
              <w:left w:val="outset" w:sz="6" w:space="0" w:color="auto"/>
              <w:bottom w:val="outset" w:sz="6" w:space="0" w:color="auto"/>
              <w:right w:val="outset" w:sz="6" w:space="0" w:color="auto"/>
            </w:tcBorders>
            <w:shd w:val="clear" w:color="auto" w:fill="FFFFFF"/>
          </w:tcPr>
          <w:p>
            <w:pPr>
              <w:widowControl/>
              <w:jc w:val="left"/>
              <w:rPr>
                <w:rFonts w:ascii="宋体" w:eastAsia="宋体" w:cs="宋体"/>
                <w:color w:val="101010"/>
                <w:kern w:val="0"/>
                <w:sz w:val="24"/>
                <w:szCs w:val="24"/>
              </w:rPr>
            </w:pPr>
            <w:r>
              <w:rPr>
                <w:rFonts w:ascii="宋体" w:eastAsia="宋体" w:cs="宋体" w:hint="eastAsia"/>
                <w:color w:val="101010"/>
                <w:kern w:val="0"/>
                <w:sz w:val="24"/>
                <w:szCs w:val="24"/>
              </w:rPr>
              <w:t>考古学、博物馆学、世界史学、历史文化等。</w:t>
            </w:r>
          </w:p>
        </w:tc>
      </w:tr>
      <w:tr>
        <w:tc>
          <w:tcPr>
            <w:tcW w:w="735"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11</w:t>
            </w:r>
          </w:p>
        </w:tc>
        <w:tc>
          <w:tcPr>
            <w:tcW w:w="1470"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外国语言学</w:t>
            </w:r>
          </w:p>
        </w:tc>
        <w:tc>
          <w:tcPr>
            <w:tcW w:w="7244" w:type="dxa"/>
            <w:tcBorders>
              <w:top w:val="outset" w:sz="6" w:space="0" w:color="auto"/>
              <w:left w:val="outset" w:sz="6" w:space="0" w:color="auto"/>
              <w:bottom w:val="outset" w:sz="6" w:space="0" w:color="auto"/>
              <w:right w:val="outset" w:sz="6" w:space="0" w:color="auto"/>
            </w:tcBorders>
            <w:shd w:val="clear" w:color="auto" w:fill="FFFFFF"/>
          </w:tcPr>
          <w:p>
            <w:pPr>
              <w:widowControl/>
              <w:jc w:val="left"/>
              <w:rPr>
                <w:rFonts w:ascii="宋体" w:eastAsia="宋体" w:cs="宋体"/>
                <w:color w:val="101010"/>
                <w:kern w:val="0"/>
                <w:sz w:val="24"/>
                <w:szCs w:val="24"/>
              </w:rPr>
            </w:pPr>
            <w:r>
              <w:rPr>
                <w:rFonts w:ascii="宋体" w:eastAsia="宋体" w:cs="宋体" w:hint="eastAsia"/>
                <w:color w:val="101010"/>
                <w:kern w:val="0"/>
                <w:sz w:val="24"/>
                <w:szCs w:val="24"/>
              </w:rPr>
              <w:t>英语、法语、俄语、日语、德语、外国文学等。</w:t>
            </w:r>
          </w:p>
        </w:tc>
      </w:tr>
      <w:tr>
        <w:tc>
          <w:tcPr>
            <w:tcW w:w="735"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12</w:t>
            </w:r>
          </w:p>
        </w:tc>
        <w:tc>
          <w:tcPr>
            <w:tcW w:w="1470"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东北亚问题</w:t>
            </w:r>
          </w:p>
        </w:tc>
        <w:tc>
          <w:tcPr>
            <w:tcW w:w="7244" w:type="dxa"/>
            <w:tcBorders>
              <w:top w:val="outset" w:sz="6" w:space="0" w:color="auto"/>
              <w:left w:val="outset" w:sz="6" w:space="0" w:color="auto"/>
              <w:bottom w:val="outset" w:sz="6" w:space="0" w:color="auto"/>
              <w:right w:val="outset" w:sz="6" w:space="0" w:color="auto"/>
            </w:tcBorders>
            <w:shd w:val="clear" w:color="auto" w:fill="FFFFFF"/>
          </w:tcPr>
          <w:p>
            <w:pPr>
              <w:widowControl/>
              <w:jc w:val="left"/>
              <w:rPr>
                <w:rFonts w:ascii="宋体" w:eastAsia="宋体" w:cs="宋体"/>
                <w:color w:val="101010"/>
                <w:kern w:val="0"/>
                <w:sz w:val="24"/>
                <w:szCs w:val="24"/>
              </w:rPr>
            </w:pPr>
            <w:r>
              <w:rPr>
                <w:rFonts w:ascii="宋体" w:eastAsia="宋体" w:cs="宋体" w:hint="eastAsia"/>
                <w:color w:val="101010"/>
                <w:kern w:val="0"/>
                <w:sz w:val="24"/>
                <w:szCs w:val="24"/>
              </w:rPr>
              <w:t>高句丽渤海问题、俄罗斯问题、朝鲜问题、日本问题、韩国问题等。</w:t>
            </w:r>
          </w:p>
        </w:tc>
      </w:tr>
      <w:tr>
        <w:tc>
          <w:tcPr>
            <w:tcW w:w="735"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13</w:t>
            </w:r>
          </w:p>
        </w:tc>
        <w:tc>
          <w:tcPr>
            <w:tcW w:w="1470" w:type="dxa"/>
            <w:tcBorders>
              <w:top w:val="outset" w:sz="6" w:space="0" w:color="auto"/>
              <w:left w:val="outset" w:sz="6" w:space="0" w:color="auto"/>
              <w:bottom w:val="outset" w:sz="6" w:space="0" w:color="auto"/>
              <w:right w:val="outset" w:sz="6" w:space="0" w:color="auto"/>
            </w:tcBorders>
            <w:shd w:val="clear" w:color="auto" w:fill="FFFFFF"/>
          </w:tcPr>
          <w:p>
            <w:pPr>
              <w:widowControl/>
              <w:jc w:val="center"/>
              <w:rPr>
                <w:rFonts w:ascii="宋体" w:eastAsia="宋体" w:cs="宋体"/>
                <w:color w:val="101010"/>
                <w:kern w:val="0"/>
                <w:sz w:val="24"/>
                <w:szCs w:val="24"/>
              </w:rPr>
            </w:pPr>
            <w:r>
              <w:rPr>
                <w:rFonts w:ascii="宋体" w:eastAsia="宋体" w:cs="宋体" w:hint="eastAsia"/>
                <w:color w:val="101010"/>
                <w:kern w:val="0"/>
                <w:sz w:val="24"/>
                <w:szCs w:val="24"/>
              </w:rPr>
              <w:t>长吉图问题</w:t>
            </w:r>
          </w:p>
        </w:tc>
        <w:tc>
          <w:tcPr>
            <w:tcW w:w="7244" w:type="dxa"/>
            <w:tcBorders>
              <w:top w:val="outset" w:sz="6" w:space="0" w:color="auto"/>
              <w:left w:val="outset" w:sz="6" w:space="0" w:color="auto"/>
              <w:bottom w:val="outset" w:sz="6" w:space="0" w:color="auto"/>
              <w:right w:val="outset" w:sz="6" w:space="0" w:color="auto"/>
            </w:tcBorders>
            <w:shd w:val="clear" w:color="auto" w:fill="FFFFFF"/>
          </w:tcPr>
          <w:p>
            <w:pPr>
              <w:widowControl/>
              <w:jc w:val="left"/>
              <w:rPr>
                <w:rFonts w:ascii="宋体" w:eastAsia="宋体" w:cs="宋体"/>
                <w:color w:val="101010"/>
                <w:kern w:val="0"/>
                <w:sz w:val="24"/>
                <w:szCs w:val="24"/>
              </w:rPr>
            </w:pPr>
            <w:r>
              <w:rPr>
                <w:rFonts w:ascii="宋体" w:eastAsia="宋体" w:cs="宋体" w:hint="eastAsia"/>
                <w:color w:val="101010"/>
                <w:kern w:val="0"/>
                <w:sz w:val="24"/>
                <w:szCs w:val="24"/>
              </w:rPr>
              <w:t>长吉图发展战略，与长吉图开发开放相关领域的问题。</w:t>
            </w:r>
          </w:p>
        </w:tc>
      </w:tr>
    </w:tbl>
    <w:p>
      <w:pPr>
        <w:widowControl/>
        <w:shd w:val="clear" w:color="auto" w:fill="FFFFFF"/>
        <w:jc w:val="left"/>
        <w:rPr>
          <w:rFonts w:ascii="宋体" w:eastAsia="宋体" w:cs="宋体"/>
          <w:color w:val="101010"/>
          <w:kern w:val="0"/>
          <w:sz w:val="24"/>
          <w:szCs w:val="24"/>
        </w:rPr>
      </w:pPr>
      <w:r>
        <w:rPr>
          <w:rFonts w:ascii="宋体" w:eastAsia="宋体" w:cs="宋体" w:hint="eastAsia"/>
          <w:color w:val="101010"/>
          <w:kern w:val="0"/>
          <w:sz w:val="24"/>
          <w:szCs w:val="24"/>
        </w:rPr>
        <w:t> </w:t>
      </w:r>
    </w:p>
    <w:p>
      <w:pPr>
        <w:rPr>
          <w:sz w:val="24"/>
          <w:szCs w:val="24"/>
        </w:rPr>
      </w:pPr>
    </w:p>
    <w:sectPr>
      <w:footerReference w:type="default" r:id="rId2"/>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简体">
    <w:panose1 w:val="03000509000000000000"/>
    <w:charset w:val="86"/>
    <w:family w:val="script"/>
    <w:pitch w:val="variable"/>
    <w:sig w:usb0="00000001" w:usb1="080E0000" w:usb2="00000000" w:usb3="00000000" w:csb0="00040000" w:csb1="00000000"/>
  </w:font>
  <w:font w:name="仿宋">
    <w:panose1 w:val="02010609060101010101"/>
    <w:charset w:val="86"/>
    <w:family w:val="auto"/>
    <w:pitch w:val="variable"/>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auto"/>
    <w:pitch w:val="variable"/>
    <w:sig w:usb0="00000A87" w:usb1="00000000" w:usb2="00000000" w:usb3="00000000" w:csb0="400001BF" w:csb1="DFF7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auto"/>
    <w:pitch w:val="variable"/>
    <w:sig w:usb0="00007A87" w:usb1="80000000" w:usb2="00000008" w:usb3="00000000" w:csb0="400001FF" w:csb1="FFFF0000"/>
  </w:font>
</w:fonts>
</file>

<file path=word/footer1.xml><?xml version="1.0" encoding="utf-8"?>
<w:ftr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p>
    <w:pPr>
      <w:pStyle w:val="16"/>
      <w:tabs>
        <w:tab w:val="center" w:pos="4153"/>
        <w:tab w:val="right" w:pos="8306"/>
      </w:tabs>
      <w:jc w:val="center"/>
    </w:pPr>
    <w:r>
      <w:fldChar w:fldCharType="begin"/>
    </w:r>
    <w:r>
      <w:instrText xml:space="preserve"> PAGE   \* MERGEFORMAT </w:instrText>
    </w:r>
    <w:r>
      <w:fldChar w:fldCharType="separate"/>
    </w:r>
    <w:r>
      <w:rPr>
        <w:lang w:val="zh-CN"/>
      </w:rPr>
      <w:t>2</w:t>
    </w:r>
    <w:r>
      <w:fldChar w:fldCharType="end"/>
    </w:r>
  </w:p>
  <w:p>
    <w:pPr>
      <w:pStyle w:val="16"/>
      <w:tabs>
        <w:tab w:val="center" w:pos="4153"/>
        <w:tab w:val="right" w:pos="8306"/>
      </w:tabs>
    </w:pPr>
  </w:p>
</w:ftr>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ulTrailSpace/>
    <w:doNotExpandShiftReturn/>
    <w:adjustLineHeightInTable/>
    <w:growAutofit/>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Arial" w:hAnsi="Calibri"/>
      <w:kern w:val="2"/>
      <w:sz w:val="21"/>
      <w:szCs w:val="22"/>
      <w:lang w:val="en-US" w:eastAsia="zh-CN" w:bidi="ar-SA"/>
    </w:rPr>
  </w:style>
  <w:style w:type="character" w:default="1" w:styleId="10">
    <w:name w:val="Default Paragraph Font"/>
  </w:style>
  <w:style w:type="paragraph" w:styleId="15">
    <w:name w:val="header"/>
    <w:basedOn w:val="0"/>
    <w:pPr>
      <w:pBdr>
        <w:bottom w:val="single" w:sz="6" w:space="1" w:color="auto"/>
      </w:pBdr>
      <w:tabs>
        <w:tab w:val="center" w:pos="4153"/>
        <w:tab w:val="right" w:pos="8306"/>
      </w:tabs>
      <w:snapToGrid w:val="0"/>
      <w:jc w:val="center"/>
    </w:pPr>
    <w:rPr>
      <w:sz w:val="18"/>
      <w:szCs w:val="18"/>
    </w:rPr>
  </w:style>
  <w:style w:type="paragraph" w:styleId="16">
    <w:name w:val="footer"/>
    <w:basedOn w:val="0"/>
    <w:pPr>
      <w:tabs>
        <w:tab w:val="center" w:pos="4153"/>
        <w:tab w:val="right" w:pos="8306"/>
      </w:tabs>
      <w:snapToGrid w:val="0"/>
      <w:jc w:val="left"/>
    </w:pPr>
    <w:rPr>
      <w:sz w:val="18"/>
      <w:szCs w:val="18"/>
    </w:rPr>
  </w:style>
  <w:style w:type="paragraph" w:styleId="17">
    <w:name w:val="Normal (Web)"/>
    <w:basedOn w:val="0"/>
    <w:pPr>
      <w:widowControl/>
      <w:spacing w:before="100" w:beforeAutospacing="1" w:after="100" w:afterAutospacing="1"/>
      <w:jc w:val="left"/>
    </w:pPr>
    <w:rPr>
      <w:rFonts w:ascii="宋体" w:eastAsia="宋体" w:cs="宋体"/>
      <w:kern w:val="0"/>
      <w:sz w:val="24"/>
      <w:szCs w:val="24"/>
    </w:rPr>
  </w:style>
  <w:style w:type="character" w:styleId="18">
    <w:name w:val="Strong"/>
    <w:basedOn w:val="10"/>
    <w:rPr>
      <w:b/>
      <w:bCs/>
    </w:rPr>
  </w:style>
  <w:style w:type="character" w:styleId="19">
    <w:name w:val="Hyperlink"/>
    <w:basedOn w:val="10"/>
    <w:rPr>
      <w:color w:val="0000FF"/>
      <w:u w:val="single"/>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oter" Target="footer1.xml"/><Relationship Id="rId3" Type="http://schemas.openxmlformats.org/officeDocument/2006/relationships/styles" Target="styles.xml"/><Relationship Id="rId4" Type="http://schemas.openxmlformats.org/officeDocument/2006/relationships/fontTable" Target="fontTable.xml"/></Relationships>
</file>

<file path=docProps/app.xml><?xml version="1.0" encoding="utf-8"?>
<Properties xmlns="http://schemas.openxmlformats.org/officeDocument/2006/extended-properties">
  <Template>Normal.eit</Template>
  <TotalTime>88</TotalTime>
  <Application>Yozo_Office</Application>
  <Pages>7</Pages>
  <Words>2710</Words>
  <Characters>2854</Characters>
  <Lines>169</Lines>
  <Paragraphs>84</Paragraphs>
  <CharactersWithSpaces>2997</CharactersWithSpaces>
</Properties>
</file>

<file path=docProps/core.xml><?xml version="1.0" encoding="utf-8"?>
<cp:coreProperties xmlns:cp="http://schemas.openxmlformats.org/package/2006/metadata/core-properties" xmlns:dc="http://purl.org/dc/elements/1.1/" xmlns:dcterms="http://purl.org/dc/terms/" xmlns:xsi="http://www.w3.org/2001/XMLSchema-instance">
  <dc:creator>admin</dc:creator>
  <cp:lastModifiedBy>Microsoft</cp:lastModifiedBy>
  <cp:revision>6</cp:revision>
  <dcterms:created xsi:type="dcterms:W3CDTF">2018-01-02T01:14:00Z</dcterms:created>
  <dcterms:modified xsi:type="dcterms:W3CDTF">2018-01-14T07:06:49Z</dcterms:modified>
</cp:coreProperties>
</file>