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r>
        <w:rPr>
          <w:rFonts w:hint="eastAsia" w:ascii="方正小标宋简体" w:eastAsia="方正小标宋简体"/>
          <w:sz w:val="44"/>
          <w:szCs w:val="44"/>
        </w:rPr>
        <w:t>长春大学旅游学院固定资产管理制度汇编</w:t>
      </w: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r>
        <w:rPr>
          <w:rFonts w:hint="eastAsia" w:ascii="方正小标宋简体" w:eastAsia="方正小标宋简体"/>
          <w:sz w:val="44"/>
          <w:szCs w:val="44"/>
        </w:rPr>
        <w:t>资产管理处</w:t>
      </w:r>
    </w:p>
    <w:p>
      <w:pPr>
        <w:widowControl/>
        <w:jc w:val="center"/>
        <w:rPr>
          <w:rFonts w:ascii="方正小标宋简体" w:eastAsia="方正小标宋简体"/>
          <w:sz w:val="44"/>
          <w:szCs w:val="44"/>
        </w:rPr>
      </w:pPr>
      <w:r>
        <w:rPr>
          <w:rFonts w:hint="eastAsia" w:ascii="方正小标宋简体" w:eastAsia="方正小标宋简体"/>
          <w:sz w:val="44"/>
          <w:szCs w:val="44"/>
        </w:rPr>
        <w:t>二0二0年十二月二日</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pStyle w:val="2"/>
        <w:jc w:val="center"/>
        <w:rPr>
          <w:rFonts w:ascii="方正小标宋简体" w:eastAsia="方正小标宋简体"/>
          <w:sz w:val="44"/>
          <w:szCs w:val="44"/>
        </w:rPr>
      </w:pPr>
      <w:bookmarkStart w:id="0" w:name="_目__"/>
      <w:bookmarkEnd w:id="0"/>
      <w:r>
        <w:rPr>
          <w:rFonts w:hint="eastAsia" w:ascii="方正小标宋简体" w:eastAsia="方正小标宋简体"/>
          <w:sz w:val="44"/>
          <w:szCs w:val="44"/>
        </w:rPr>
        <w:t>目   录</w:t>
      </w:r>
    </w:p>
    <w:p>
      <w:pPr>
        <w:pStyle w:val="7"/>
        <w:rPr>
          <w:rFonts w:ascii="方正小标宋简体" w:eastAsia="方正小标宋简体"/>
        </w:rPr>
      </w:pPr>
      <w:r>
        <w:rPr>
          <w:rFonts w:ascii="方正小标宋简体" w:hAnsi="仿宋" w:eastAsia="方正小标宋简体"/>
          <w:bCs/>
          <w:sz w:val="44"/>
          <w:szCs w:val="44"/>
        </w:rPr>
        <w:fldChar w:fldCharType="begin"/>
      </w:r>
      <w:r>
        <w:rPr>
          <w:rFonts w:ascii="方正小标宋简体" w:hAnsi="仿宋" w:eastAsia="方正小标宋简体"/>
          <w:bCs/>
          <w:sz w:val="44"/>
          <w:szCs w:val="44"/>
        </w:rPr>
        <w:instrText xml:space="preserve"> TOC \o "1-1" \h \z \u </w:instrText>
      </w:r>
      <w:r>
        <w:rPr>
          <w:rFonts w:ascii="方正小标宋简体" w:hAnsi="仿宋" w:eastAsia="方正小标宋简体"/>
          <w:bCs/>
          <w:sz w:val="44"/>
          <w:szCs w:val="44"/>
        </w:rPr>
        <w:fldChar w:fldCharType="separate"/>
      </w:r>
      <w:r>
        <w:fldChar w:fldCharType="begin"/>
      </w:r>
      <w:r>
        <w:instrText xml:space="preserve"> HYPERLINK \l "_Toc85616708" </w:instrText>
      </w:r>
      <w:r>
        <w:fldChar w:fldCharType="separate"/>
      </w:r>
      <w:r>
        <w:rPr>
          <w:rStyle w:val="16"/>
          <w:rFonts w:hint="eastAsia" w:ascii="方正小标宋简体" w:hAnsi="仿宋" w:eastAsia="方正小标宋简体"/>
        </w:rPr>
        <w:t>长春大学旅游学院固定资产管理暂行办法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_Toc85616708 \h </w:instrText>
      </w:r>
      <w:r>
        <w:rPr>
          <w:rFonts w:hint="eastAsia" w:ascii="方正小标宋简体" w:eastAsia="方正小标宋简体"/>
        </w:rPr>
        <w:fldChar w:fldCharType="separate"/>
      </w:r>
      <w:r>
        <w:rPr>
          <w:rFonts w:ascii="方正小标宋简体" w:eastAsia="方正小标宋简体"/>
        </w:rPr>
        <w:t>1</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"_Toc85616709" </w:instrText>
      </w:r>
      <w:r>
        <w:fldChar w:fldCharType="separate"/>
      </w:r>
      <w:r>
        <w:rPr>
          <w:rStyle w:val="16"/>
          <w:rFonts w:hint="eastAsia" w:ascii="方正小标宋简体" w:hAnsi="仿宋" w:eastAsia="方正小标宋简体"/>
        </w:rPr>
        <w:t>长春大学旅游学院固定资产、低值易耗品验收暂行办法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_Toc85616709 \h </w:instrText>
      </w:r>
      <w:r>
        <w:rPr>
          <w:rFonts w:hint="eastAsia" w:ascii="方正小标宋简体" w:eastAsia="方正小标宋简体"/>
        </w:rPr>
        <w:fldChar w:fldCharType="separate"/>
      </w:r>
      <w:r>
        <w:rPr>
          <w:rFonts w:ascii="方正小标宋简体" w:eastAsia="方正小标宋简体"/>
        </w:rPr>
        <w:t>9</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"_Toc85616710" </w:instrText>
      </w:r>
      <w:r>
        <w:fldChar w:fldCharType="separate"/>
      </w:r>
      <w:r>
        <w:rPr>
          <w:rStyle w:val="16"/>
          <w:rFonts w:hint="eastAsia" w:ascii="方正小标宋简体" w:hAnsi="仿宋" w:eastAsia="方正小标宋简体"/>
        </w:rPr>
        <w:t>长春大学旅游学院仪器设备、家具维修管理暂行办法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_Toc85616710 \h </w:instrText>
      </w:r>
      <w:r>
        <w:rPr>
          <w:rFonts w:hint="eastAsia" w:ascii="方正小标宋简体" w:eastAsia="方正小标宋简体"/>
        </w:rPr>
        <w:fldChar w:fldCharType="separate"/>
      </w:r>
      <w:r>
        <w:rPr>
          <w:rFonts w:ascii="方正小标宋简体" w:eastAsia="方正小标宋简体"/>
        </w:rPr>
        <w:t>14</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"_Toc85616711" </w:instrText>
      </w:r>
      <w:r>
        <w:fldChar w:fldCharType="separate"/>
      </w:r>
      <w:r>
        <w:rPr>
          <w:rStyle w:val="16"/>
          <w:rFonts w:hint="eastAsia" w:ascii="方正小标宋简体" w:hAnsi="方正小标宋简体" w:eastAsia="方正小标宋简体" w:cs="方正小标宋简体"/>
        </w:rPr>
        <w:t>长春大学旅游学院仪器设备、家具处置管理暂行办法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_Toc85616711 \h </w:instrText>
      </w:r>
      <w:r>
        <w:rPr>
          <w:rFonts w:hint="eastAsia" w:ascii="方正小标宋简体" w:eastAsia="方正小标宋简体"/>
        </w:rPr>
        <w:fldChar w:fldCharType="separate"/>
      </w:r>
      <w:r>
        <w:rPr>
          <w:rFonts w:ascii="方正小标宋简体" w:eastAsia="方正小标宋简体"/>
        </w:rPr>
        <w:t>17</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"_Toc85616712" </w:instrText>
      </w:r>
      <w:r>
        <w:fldChar w:fldCharType="separate"/>
      </w:r>
      <w:r>
        <w:rPr>
          <w:rStyle w:val="16"/>
          <w:rFonts w:hint="eastAsia" w:ascii="方正小标宋简体" w:hAnsi="方正小标宋简体" w:eastAsia="方正小标宋简体" w:cs="方正小标宋简体"/>
        </w:rPr>
        <w:t>长春大学旅游学院仪器设备和物资器材损坏丢失赔偿管理暂行办法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_Toc85616712 \h </w:instrText>
      </w:r>
      <w:r>
        <w:rPr>
          <w:rFonts w:hint="eastAsia" w:ascii="方正小标宋简体" w:eastAsia="方正小标宋简体"/>
        </w:rPr>
        <w:fldChar w:fldCharType="separate"/>
      </w:r>
      <w:r>
        <w:rPr>
          <w:rFonts w:ascii="方正小标宋简体" w:eastAsia="方正小标宋简体"/>
        </w:rPr>
        <w:t>20</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"_Toc85616713" </w:instrText>
      </w:r>
      <w:r>
        <w:fldChar w:fldCharType="separate"/>
      </w:r>
      <w:r>
        <w:rPr>
          <w:rStyle w:val="16"/>
          <w:rFonts w:hint="eastAsia" w:ascii="方正小标宋简体" w:hAnsi="仿宋" w:eastAsia="方正小标宋简体"/>
        </w:rPr>
        <w:t>长春大学旅游学院仪器设备、家具管理使用人员离岗办理移交手续的规定</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_Toc85616713 \h </w:instrText>
      </w:r>
      <w:r>
        <w:rPr>
          <w:rFonts w:hint="eastAsia" w:ascii="方正小标宋简体" w:eastAsia="方正小标宋简体"/>
        </w:rPr>
        <w:fldChar w:fldCharType="separate"/>
      </w:r>
      <w:r>
        <w:rPr>
          <w:rFonts w:ascii="方正小标宋简体" w:eastAsia="方正小标宋简体"/>
        </w:rPr>
        <w:t>25</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"_Toc85616714" </w:instrText>
      </w:r>
      <w:r>
        <w:fldChar w:fldCharType="separate"/>
      </w:r>
      <w:r>
        <w:rPr>
          <w:rStyle w:val="16"/>
          <w:rFonts w:hint="eastAsia" w:ascii="方正小标宋简体" w:hAnsi="仿宋" w:eastAsia="方正小标宋简体"/>
        </w:rPr>
        <w:t>长春大学旅游学院贵重仪器设备管理暂行办法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_Toc85616714 \h </w:instrText>
      </w:r>
      <w:r>
        <w:rPr>
          <w:rFonts w:hint="eastAsia" w:ascii="方正小标宋简体" w:eastAsia="方正小标宋简体"/>
        </w:rPr>
        <w:fldChar w:fldCharType="separate"/>
      </w:r>
      <w:r>
        <w:rPr>
          <w:rFonts w:ascii="方正小标宋简体" w:eastAsia="方正小标宋简体"/>
        </w:rPr>
        <w:t>27</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"_Toc85616715" </w:instrText>
      </w:r>
      <w:r>
        <w:fldChar w:fldCharType="separate"/>
      </w:r>
      <w:r>
        <w:rPr>
          <w:rStyle w:val="16"/>
          <w:rFonts w:hint="eastAsia" w:ascii="方正小标宋简体" w:hAnsi="仿宋" w:eastAsia="方正小标宋简体"/>
        </w:rPr>
        <w:t>长春大学旅游学院毒品、剧毒品及易制毒化学品管理暂行办法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_Toc85616715 \h </w:instrText>
      </w:r>
      <w:r>
        <w:rPr>
          <w:rFonts w:hint="eastAsia" w:ascii="方正小标宋简体" w:eastAsia="方正小标宋简体"/>
        </w:rPr>
        <w:fldChar w:fldCharType="separate"/>
      </w:r>
      <w:r>
        <w:rPr>
          <w:rFonts w:ascii="方正小标宋简体" w:eastAsia="方正小标宋简体"/>
        </w:rPr>
        <w:t>31</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"_Toc85616716" </w:instrText>
      </w:r>
      <w:r>
        <w:fldChar w:fldCharType="separate"/>
      </w:r>
      <w:r>
        <w:rPr>
          <w:rStyle w:val="16"/>
          <w:rFonts w:hint="eastAsia" w:ascii="方正小标宋简体" w:hAnsi="仿宋" w:eastAsia="方正小标宋简体"/>
        </w:rPr>
        <w:t>长春大学旅游学院库房安全管理暂行办法</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_Toc85616716 \h </w:instrText>
      </w:r>
      <w:r>
        <w:rPr>
          <w:rFonts w:hint="eastAsia" w:ascii="方正小标宋简体" w:eastAsia="方正小标宋简体"/>
        </w:rPr>
        <w:fldChar w:fldCharType="separate"/>
      </w:r>
      <w:r>
        <w:rPr>
          <w:rFonts w:ascii="方正小标宋简体" w:eastAsia="方正小标宋简体"/>
        </w:rPr>
        <w:t>33</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"_Toc85616717" </w:instrText>
      </w:r>
      <w:r>
        <w:fldChar w:fldCharType="separate"/>
      </w:r>
      <w:r>
        <w:rPr>
          <w:rStyle w:val="16"/>
          <w:rFonts w:hint="eastAsia" w:ascii="方正小标宋简体" w:hAnsi="仿宋" w:eastAsia="方正小标宋简体"/>
        </w:rPr>
        <w:t>长春大学旅游学院兼职资产管理员工作暂行规定</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_Toc85616717 \h </w:instrText>
      </w:r>
      <w:r>
        <w:rPr>
          <w:rFonts w:hint="eastAsia" w:ascii="方正小标宋简体" w:eastAsia="方正小标宋简体"/>
        </w:rPr>
        <w:fldChar w:fldCharType="separate"/>
      </w:r>
      <w:r>
        <w:rPr>
          <w:rFonts w:ascii="方正小标宋简体" w:eastAsia="方正小标宋简体"/>
        </w:rPr>
        <w:t>35</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"_Toc85616718" </w:instrText>
      </w:r>
      <w:r>
        <w:fldChar w:fldCharType="separate"/>
      </w:r>
      <w:r>
        <w:rPr>
          <w:rStyle w:val="16"/>
          <w:rFonts w:hint="eastAsia" w:ascii="方正小标宋简体" w:hAnsi="仿宋" w:eastAsia="方正小标宋简体"/>
        </w:rPr>
        <w:t>附件一：长春大学旅游学院固定资产管理流程图</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_Toc85616718 \h </w:instrText>
      </w:r>
      <w:r>
        <w:rPr>
          <w:rFonts w:hint="eastAsia" w:ascii="方正小标宋简体" w:eastAsia="方正小标宋简体"/>
        </w:rPr>
        <w:fldChar w:fldCharType="separate"/>
      </w:r>
      <w:r>
        <w:rPr>
          <w:rFonts w:ascii="方正小标宋简体" w:eastAsia="方正小标宋简体"/>
        </w:rPr>
        <w:t>37</w:t>
      </w:r>
      <w:r>
        <w:rPr>
          <w:rFonts w:hint="eastAsia" w:ascii="方正小标宋简体" w:eastAsia="方正小标宋简体"/>
        </w:rPr>
        <w:fldChar w:fldCharType="end"/>
      </w:r>
      <w:r>
        <w:rPr>
          <w:rFonts w:hint="eastAsia" w:ascii="方正小标宋简体" w:eastAsia="方正小标宋简体"/>
        </w:rPr>
        <w:fldChar w:fldCharType="end"/>
      </w:r>
    </w:p>
    <w:p>
      <w:pPr>
        <w:pStyle w:val="7"/>
        <w:rPr>
          <w:rFonts w:ascii="方正小标宋简体" w:eastAsia="方正小标宋简体"/>
        </w:rPr>
      </w:pPr>
      <w:r>
        <w:fldChar w:fldCharType="begin"/>
      </w:r>
      <w:r>
        <w:instrText xml:space="preserve"> HYPERLINK \l "_Toc85616719" </w:instrText>
      </w:r>
      <w:r>
        <w:fldChar w:fldCharType="separate"/>
      </w:r>
      <w:r>
        <w:rPr>
          <w:rStyle w:val="16"/>
          <w:rFonts w:hint="eastAsia" w:ascii="方正小标宋简体" w:hAnsi="仿宋" w:eastAsia="方正小标宋简体"/>
        </w:rPr>
        <w:t>附件二：长春大学旅游学院</w:t>
      </w:r>
      <w:r>
        <w:rPr>
          <w:rStyle w:val="16"/>
          <w:rFonts w:hint="eastAsia" w:ascii="方正小标宋简体" w:hAnsi="黑体" w:eastAsia="方正小标宋简体"/>
        </w:rPr>
        <w:t>物资验收流程图</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_Toc85616719 \h </w:instrText>
      </w:r>
      <w:r>
        <w:rPr>
          <w:rFonts w:hint="eastAsia" w:ascii="方正小标宋简体" w:eastAsia="方正小标宋简体"/>
        </w:rPr>
        <w:fldChar w:fldCharType="separate"/>
      </w:r>
      <w:r>
        <w:rPr>
          <w:rFonts w:ascii="方正小标宋简体" w:eastAsia="方正小标宋简体"/>
        </w:rPr>
        <w:t>38</w:t>
      </w:r>
      <w:r>
        <w:rPr>
          <w:rFonts w:hint="eastAsia" w:ascii="方正小标宋简体" w:eastAsia="方正小标宋简体"/>
        </w:rPr>
        <w:fldChar w:fldCharType="end"/>
      </w:r>
      <w:r>
        <w:rPr>
          <w:rFonts w:hint="eastAsia" w:ascii="方正小标宋简体" w:eastAsia="方正小标宋简体"/>
        </w:rPr>
        <w:fldChar w:fldCharType="end"/>
      </w:r>
    </w:p>
    <w:p>
      <w:pPr>
        <w:pStyle w:val="7"/>
      </w:pPr>
      <w:r>
        <w:fldChar w:fldCharType="begin"/>
      </w:r>
      <w:r>
        <w:instrText xml:space="preserve"> HYPERLINK \l "_Toc85616720" </w:instrText>
      </w:r>
      <w:r>
        <w:fldChar w:fldCharType="separate"/>
      </w:r>
      <w:r>
        <w:rPr>
          <w:rStyle w:val="16"/>
          <w:rFonts w:hint="eastAsia" w:ascii="方正小标宋简体" w:hAnsi="仿宋" w:eastAsia="方正小标宋简体"/>
        </w:rPr>
        <w:t>附件三：长春大学旅游学院固定资产报废流程图</w:t>
      </w:r>
      <w:r>
        <w:rPr>
          <w:rFonts w:hint="eastAsia" w:ascii="方正小标宋简体" w:eastAsia="方正小标宋简体"/>
        </w:rPr>
        <w:tab/>
      </w:r>
      <w:r>
        <w:rPr>
          <w:rFonts w:hint="eastAsia" w:ascii="方正小标宋简体" w:eastAsia="方正小标宋简体"/>
        </w:rPr>
        <w:fldChar w:fldCharType="begin"/>
      </w:r>
      <w:r>
        <w:rPr>
          <w:rFonts w:hint="eastAsia" w:ascii="方正小标宋简体" w:eastAsia="方正小标宋简体"/>
        </w:rPr>
        <w:instrText xml:space="preserve"> PAGEREF _Toc85616720 \h </w:instrText>
      </w:r>
      <w:r>
        <w:rPr>
          <w:rFonts w:hint="eastAsia" w:ascii="方正小标宋简体" w:eastAsia="方正小标宋简体"/>
        </w:rPr>
        <w:fldChar w:fldCharType="separate"/>
      </w:r>
      <w:r>
        <w:rPr>
          <w:rFonts w:ascii="方正小标宋简体" w:eastAsia="方正小标宋简体"/>
        </w:rPr>
        <w:t>40</w:t>
      </w:r>
      <w:r>
        <w:rPr>
          <w:rFonts w:hint="eastAsia" w:ascii="方正小标宋简体" w:eastAsia="方正小标宋简体"/>
        </w:rPr>
        <w:fldChar w:fldCharType="end"/>
      </w:r>
      <w:r>
        <w:rPr>
          <w:rFonts w:hint="eastAsia" w:ascii="方正小标宋简体" w:eastAsia="方正小标宋简体"/>
        </w:rPr>
        <w:fldChar w:fldCharType="end"/>
      </w:r>
    </w:p>
    <w:p>
      <w:pPr>
        <w:pStyle w:val="2"/>
        <w:snapToGrid w:val="0"/>
        <w:spacing w:before="260" w:after="260" w:line="740" w:lineRule="exact"/>
        <w:rPr>
          <w:rFonts w:ascii="方正小标宋简体" w:hAnsi="仿宋" w:eastAsia="方正小标宋简体"/>
          <w:b w:val="0"/>
          <w:color w:val="auto"/>
          <w:sz w:val="44"/>
          <w:szCs w:val="44"/>
        </w:rPr>
        <w:sectPr>
          <w:footerReference r:id="rId3" w:type="default"/>
          <w:pgSz w:w="11906" w:h="16838"/>
          <w:pgMar w:top="2098" w:right="1474" w:bottom="1985" w:left="1588" w:header="851" w:footer="992" w:gutter="0"/>
          <w:pgNumType w:start="1"/>
          <w:cols w:space="425" w:num="1"/>
          <w:docGrid w:type="lines" w:linePitch="312" w:charSpace="0"/>
        </w:sectPr>
      </w:pPr>
      <w:r>
        <w:rPr>
          <w:rFonts w:ascii="方正小标宋简体" w:hAnsi="仿宋" w:eastAsia="方正小标宋简体"/>
          <w:bCs w:val="0"/>
          <w:color w:val="auto"/>
          <w:kern w:val="2"/>
          <w:sz w:val="44"/>
          <w:szCs w:val="44"/>
        </w:rPr>
        <w:fldChar w:fldCharType="end"/>
      </w:r>
      <w:r>
        <w:rPr>
          <w:rFonts w:hint="eastAsia" w:ascii="方正小标宋简体" w:hAnsi="仿宋" w:eastAsia="方正小标宋简体"/>
          <w:bCs w:val="0"/>
          <w:color w:val="auto"/>
          <w:kern w:val="2"/>
          <w:sz w:val="44"/>
          <w:szCs w:val="44"/>
        </w:rPr>
        <w:t xml:space="preserve"> </w:t>
      </w:r>
    </w:p>
    <w:p>
      <w:pPr>
        <w:pStyle w:val="2"/>
        <w:snapToGrid w:val="0"/>
        <w:spacing w:before="260" w:after="260" w:line="740" w:lineRule="exact"/>
        <w:jc w:val="center"/>
        <w:rPr>
          <w:rFonts w:ascii="方正小标宋简体" w:hAnsi="仿宋" w:eastAsia="方正小标宋简体"/>
          <w:b w:val="0"/>
          <w:color w:val="auto"/>
          <w:sz w:val="44"/>
          <w:szCs w:val="44"/>
        </w:rPr>
      </w:pPr>
      <w:bookmarkStart w:id="1" w:name="_长春大学旅游学院固定资产管理暂行办法"/>
      <w:bookmarkEnd w:id="1"/>
      <w:bookmarkStart w:id="2" w:name="_Toc85616708"/>
      <w:r>
        <w:rPr>
          <w:rFonts w:ascii="方正小标宋简体" w:hAnsi="仿宋" w:eastAsia="方正小标宋简体"/>
          <w:b w:val="0"/>
          <w:color w:val="auto"/>
          <w:sz w:val="44"/>
          <w:szCs w:val="44"/>
        </w:rPr>
        <w:fldChar w:fldCharType="begin"/>
      </w:r>
      <w:r>
        <w:rPr>
          <w:rFonts w:ascii="方正小标宋简体" w:hAnsi="仿宋" w:eastAsia="方正小标宋简体"/>
          <w:b w:val="0"/>
          <w:color w:val="auto"/>
          <w:sz w:val="44"/>
          <w:szCs w:val="44"/>
        </w:rPr>
        <w:instrText xml:space="preserve"> HYPERLINK  \l "_目__" </w:instrText>
      </w:r>
      <w:r>
        <w:rPr>
          <w:rFonts w:ascii="方正小标宋简体" w:hAnsi="仿宋" w:eastAsia="方正小标宋简体"/>
          <w:b w:val="0"/>
          <w:color w:val="auto"/>
          <w:sz w:val="44"/>
          <w:szCs w:val="44"/>
        </w:rPr>
        <w:fldChar w:fldCharType="separate"/>
      </w:r>
      <w:r>
        <w:rPr>
          <w:rStyle w:val="16"/>
          <w:rFonts w:hint="eastAsia" w:ascii="方正小标宋简体" w:hAnsi="仿宋" w:eastAsia="方正小标宋简体"/>
          <w:b w:val="0"/>
          <w:color w:val="auto"/>
          <w:sz w:val="44"/>
          <w:szCs w:val="44"/>
          <w:u w:val="none"/>
        </w:rPr>
        <w:t>长春大学旅游学院固定资产管理暂行办法</w:t>
      </w:r>
      <w:bookmarkEnd w:id="2"/>
      <w:r>
        <w:rPr>
          <w:rFonts w:ascii="方正小标宋简体" w:hAnsi="仿宋" w:eastAsia="方正小标宋简体"/>
          <w:b w:val="0"/>
          <w:color w:val="auto"/>
          <w:sz w:val="44"/>
          <w:szCs w:val="44"/>
        </w:rPr>
        <w:fldChar w:fldCharType="end"/>
      </w:r>
    </w:p>
    <w:p>
      <w:pPr>
        <w:pStyle w:val="3"/>
        <w:spacing w:before="100" w:beforeAutospacing="1" w:after="100" w:afterAutospacing="1"/>
        <w:jc w:val="center"/>
        <w:rPr>
          <w:b w:val="0"/>
          <w:bCs/>
        </w:rPr>
      </w:pPr>
      <w:bookmarkStart w:id="3" w:name="_第一章__"/>
      <w:bookmarkEnd w:id="3"/>
      <w:bookmarkStart w:id="4" w:name="_Toc85616166"/>
      <w:r>
        <w:rPr>
          <w:b w:val="0"/>
          <w:bCs/>
        </w:rPr>
        <w:t>第一章</w:t>
      </w:r>
      <w:r>
        <w:rPr>
          <w:rFonts w:hint="eastAsia"/>
          <w:b w:val="0"/>
          <w:bCs/>
        </w:rPr>
        <w:t xml:space="preserve">   </w:t>
      </w:r>
      <w:r>
        <w:rPr>
          <w:b w:val="0"/>
          <w:bCs/>
        </w:rPr>
        <w:t>总 则</w:t>
      </w:r>
      <w:bookmarkEnd w:id="4"/>
    </w:p>
    <w:p>
      <w:pPr>
        <w:snapToGrid w:val="0"/>
        <w:spacing w:after="120"/>
        <w:ind w:firstLine="640" w:firstLineChars="200"/>
        <w:jc w:val="left"/>
        <w:rPr>
          <w:rFonts w:ascii="仿宋" w:hAnsi="仿宋" w:eastAsia="仿宋"/>
          <w:sz w:val="32"/>
          <w:szCs w:val="32"/>
        </w:rPr>
      </w:pPr>
      <w:r>
        <w:rPr>
          <w:rFonts w:ascii="仿宋" w:hAnsi="仿宋" w:eastAsia="仿宋"/>
          <w:bCs/>
          <w:sz w:val="32"/>
          <w:szCs w:val="32"/>
        </w:rPr>
        <w:t>第一条</w:t>
      </w:r>
      <w:r>
        <w:rPr>
          <w:rFonts w:ascii="仿宋" w:hAnsi="仿宋" w:eastAsia="仿宋"/>
          <w:sz w:val="32"/>
          <w:szCs w:val="32"/>
        </w:rPr>
        <w:t xml:space="preserve"> 为加强学校固定资产管理，提高资产使用效益和效率，保护学校资产的安全和完整，促进固定资产管理工作的规范化和制度化，依据相关法律、法规的规定，结合</w:t>
      </w:r>
      <w:r>
        <w:rPr>
          <w:rFonts w:hint="eastAsia" w:ascii="仿宋" w:hAnsi="仿宋" w:eastAsia="仿宋"/>
          <w:sz w:val="32"/>
          <w:szCs w:val="32"/>
        </w:rPr>
        <w:t>学</w:t>
      </w:r>
      <w:r>
        <w:rPr>
          <w:rFonts w:ascii="仿宋" w:hAnsi="仿宋" w:eastAsia="仿宋"/>
          <w:sz w:val="32"/>
          <w:szCs w:val="32"/>
        </w:rPr>
        <w:t>校的实际情况，特制定本办法。</w:t>
      </w:r>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第二条</w:t>
      </w:r>
      <w:r>
        <w:rPr>
          <w:rFonts w:ascii="仿宋" w:hAnsi="仿宋" w:eastAsia="仿宋"/>
          <w:sz w:val="32"/>
          <w:szCs w:val="32"/>
        </w:rPr>
        <w:t xml:space="preserve"> 固定资产管理的主要任务是：完善管理体制，建立健全各项规章制度；明晰产权关系，落实管理责任；科学配置及有效使用固定资产，提高固定资产使用效益、保值增值；防止</w:t>
      </w:r>
      <w:bookmarkStart w:id="45" w:name="_GoBack"/>
      <w:bookmarkEnd w:id="45"/>
      <w:r>
        <w:rPr>
          <w:rFonts w:ascii="仿宋" w:hAnsi="仿宋" w:eastAsia="仿宋"/>
          <w:sz w:val="32"/>
          <w:szCs w:val="32"/>
        </w:rPr>
        <w:t>固定资产流失。</w:t>
      </w:r>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第三条</w:t>
      </w:r>
      <w:r>
        <w:rPr>
          <w:rFonts w:ascii="仿宋" w:hAnsi="仿宋" w:eastAsia="仿宋"/>
          <w:sz w:val="32"/>
          <w:szCs w:val="32"/>
        </w:rPr>
        <w:t xml:space="preserve"> 固定资产管理</w:t>
      </w:r>
      <w:r>
        <w:rPr>
          <w:rFonts w:hint="eastAsia" w:ascii="仿宋" w:hAnsi="仿宋" w:eastAsia="仿宋"/>
          <w:sz w:val="32"/>
          <w:szCs w:val="32"/>
        </w:rPr>
        <w:t>遵照</w:t>
      </w:r>
      <w:r>
        <w:rPr>
          <w:rFonts w:ascii="仿宋" w:hAnsi="仿宋" w:eastAsia="仿宋"/>
          <w:sz w:val="32"/>
          <w:szCs w:val="32"/>
        </w:rPr>
        <w:t>“统一领导、分级管理、层层负责、管用结合”的原则，即实行校、院（部、处）两级管理的体制。即：一级管理为学校的归口管理部门（资产管理处）</w:t>
      </w:r>
      <w:r>
        <w:rPr>
          <w:rFonts w:hint="eastAsia" w:ascii="仿宋" w:hAnsi="仿宋" w:eastAsia="仿宋"/>
          <w:sz w:val="32"/>
          <w:szCs w:val="32"/>
        </w:rPr>
        <w:t>，</w:t>
      </w:r>
      <w:r>
        <w:rPr>
          <w:rFonts w:ascii="仿宋" w:hAnsi="仿宋" w:eastAsia="仿宋"/>
          <w:sz w:val="32"/>
          <w:szCs w:val="32"/>
        </w:rPr>
        <w:t>二级管理为学校各处级单位。</w:t>
      </w:r>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第四条</w:t>
      </w:r>
      <w:r>
        <w:rPr>
          <w:rFonts w:ascii="仿宋" w:hAnsi="仿宋" w:eastAsia="仿宋"/>
          <w:sz w:val="32"/>
          <w:szCs w:val="32"/>
        </w:rPr>
        <w:t xml:space="preserve"> 固定资产管理内容主要包括：固定资产范围确定、分类编号、计价确定、申购、验收、登记、保管、使用、调拨、维护、报修、报损、报废；固定资产清查盘点、监督、检查；固定资产数据及报表管理</w:t>
      </w:r>
      <w:r>
        <w:rPr>
          <w:rFonts w:hint="eastAsia" w:ascii="仿宋" w:hAnsi="仿宋" w:eastAsia="仿宋"/>
          <w:sz w:val="32"/>
          <w:szCs w:val="32"/>
        </w:rPr>
        <w:t>及固定资产的使用情况</w:t>
      </w:r>
      <w:r>
        <w:rPr>
          <w:rFonts w:ascii="仿宋" w:hAnsi="仿宋" w:eastAsia="仿宋"/>
          <w:sz w:val="32"/>
          <w:szCs w:val="32"/>
        </w:rPr>
        <w:t>等。</w:t>
      </w:r>
    </w:p>
    <w:p>
      <w:pPr>
        <w:pStyle w:val="3"/>
        <w:spacing w:before="100" w:beforeAutospacing="1" w:after="100" w:afterAutospacing="1"/>
        <w:jc w:val="center"/>
        <w:rPr>
          <w:b w:val="0"/>
          <w:bCs/>
        </w:rPr>
      </w:pPr>
      <w:bookmarkStart w:id="5" w:name="_Toc85616167"/>
      <w:r>
        <w:rPr>
          <w:b w:val="0"/>
          <w:bCs/>
        </w:rPr>
        <w:t>第二章</w:t>
      </w:r>
      <w:r>
        <w:rPr>
          <w:rFonts w:hint="eastAsia"/>
          <w:b w:val="0"/>
          <w:bCs/>
        </w:rPr>
        <w:t xml:space="preserve">   </w:t>
      </w:r>
      <w:r>
        <w:rPr>
          <w:b w:val="0"/>
          <w:bCs/>
        </w:rPr>
        <w:t>固定资产的范围、分类与计价</w:t>
      </w:r>
      <w:bookmarkEnd w:id="5"/>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第五条</w:t>
      </w:r>
      <w:r>
        <w:rPr>
          <w:rFonts w:ascii="仿宋" w:hAnsi="仿宋" w:eastAsia="仿宋"/>
          <w:sz w:val="32"/>
          <w:szCs w:val="32"/>
        </w:rPr>
        <w:t xml:space="preserve"> 固定资产的范围</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（一）土地</w:t>
      </w:r>
      <w:r>
        <w:rPr>
          <w:rFonts w:hint="eastAsia" w:ascii="仿宋" w:hAnsi="仿宋" w:eastAsia="仿宋"/>
          <w:sz w:val="32"/>
          <w:szCs w:val="32"/>
        </w:rPr>
        <w:t>使用权</w:t>
      </w:r>
      <w:r>
        <w:rPr>
          <w:rFonts w:ascii="仿宋" w:hAnsi="仿宋" w:eastAsia="仿宋"/>
          <w:sz w:val="32"/>
          <w:szCs w:val="32"/>
        </w:rPr>
        <w:t>、房屋、构筑物</w:t>
      </w:r>
      <w:r>
        <w:rPr>
          <w:rFonts w:hint="eastAsia" w:ascii="仿宋" w:hAnsi="仿宋" w:eastAsia="仿宋"/>
          <w:sz w:val="32"/>
          <w:szCs w:val="32"/>
        </w:rPr>
        <w:t>。</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（二）单位价值在800元（含800元）以上，并在使用过程中基本保持原有物质形态的资产</w:t>
      </w:r>
      <w:r>
        <w:rPr>
          <w:rFonts w:hint="eastAsia" w:ascii="仿宋" w:hAnsi="仿宋" w:eastAsia="仿宋"/>
          <w:sz w:val="32"/>
          <w:szCs w:val="32"/>
        </w:rPr>
        <w:t>。</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（三）单位价值虽未达到规定标准，但耐用时间在一年以上的大批同类物资，按固定资产管理。</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 xml:space="preserve">（四）单位价值在100元（含100元）以上，且耐用期限在1年以上并能独立使用的各类家具。 </w:t>
      </w:r>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第六条</w:t>
      </w:r>
      <w:r>
        <w:rPr>
          <w:rFonts w:ascii="仿宋" w:hAnsi="仿宋" w:eastAsia="仿宋"/>
          <w:sz w:val="32"/>
          <w:szCs w:val="32"/>
        </w:rPr>
        <w:t xml:space="preserve"> 固定资产分类</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（一）固定资产按其性质分为六大类：房屋及构筑物；专用设备；通用设备；文物和陈列品；图书、档案；家具、用具、装具及动植物。</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房屋及构筑物，指房屋、构筑物及其他附属设施。房屋包括办公用房、教学科研用房、生产经营用房、仓库、学生及职工生活用房、食堂用房、浴池及锅炉用房等；构筑物包括道路、围墙、水塔、雕塑等；附属设施包括房屋、构筑物内的电梯、通讯电路、输电线路、水气管道等。</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2.专用设备，指各种具有专门性能和专门用途的设备，包括各种仪器和机械设备、医疗器械、文体设备等。</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3.通用设备，指办公和事务用的通用性设备、交通工具、通讯工具、家具等。</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4.文物和陈列品，指古玩、字画、纪念品、装饰品、展品、藏品等。</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5.图书、档案，指图书馆和学校规定在学院设置的资料室、阅览室的图书、资料等。</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6.其它固定资产。指未能包括在上述各项内的固定资产。</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（二）依据教育部“高等学校固定资产分类目录”的分类规定，固定资产分类明细为16类：</w:t>
      </w:r>
    </w:p>
    <w:p>
      <w:pPr>
        <w:snapToGrid w:val="0"/>
        <w:spacing w:after="120" w:line="520" w:lineRule="exact"/>
        <w:ind w:firstLine="640" w:firstLineChars="200"/>
        <w:jc w:val="left"/>
        <w:rPr>
          <w:rFonts w:ascii="仿宋" w:hAnsi="仿宋" w:eastAsia="仿宋"/>
          <w:sz w:val="32"/>
          <w:szCs w:val="32"/>
        </w:rPr>
        <w:sectPr>
          <w:footerReference r:id="rId4" w:type="default"/>
          <w:pgSz w:w="11906" w:h="16838"/>
          <w:pgMar w:top="2098" w:right="1474" w:bottom="1985" w:left="1588" w:header="851" w:footer="992" w:gutter="0"/>
          <w:pgNumType w:start="1"/>
          <w:cols w:space="425" w:num="1"/>
          <w:docGrid w:type="lines" w:linePitch="312" w:charSpace="0"/>
        </w:sectPr>
      </w:pP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1．房屋及构筑物；</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3．仪器仪表；</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5．电子设备；</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7．卫生医疗器械；</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9．标本模型；</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11．图书；</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13．家具；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15．被服装具；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2．土地及植物；</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4．机电设备；</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6．印刷机械；</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8．文体设备；</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10．文物及陈列品；</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12．工具、量具和器皿；</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14．行政办公用品；</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16．牲畜。</w:t>
      </w:r>
    </w:p>
    <w:p>
      <w:pPr>
        <w:snapToGrid w:val="0"/>
        <w:spacing w:after="120" w:line="520" w:lineRule="exact"/>
        <w:ind w:firstLine="640" w:firstLineChars="200"/>
        <w:jc w:val="left"/>
        <w:rPr>
          <w:rFonts w:ascii="仿宋" w:hAnsi="仿宋" w:eastAsia="仿宋"/>
          <w:sz w:val="32"/>
          <w:szCs w:val="32"/>
        </w:rPr>
        <w:sectPr>
          <w:type w:val="continuous"/>
          <w:pgSz w:w="11906" w:h="16838"/>
          <w:pgMar w:top="2098" w:right="1474" w:bottom="1985" w:left="1588" w:header="851" w:footer="992" w:gutter="0"/>
          <w:cols w:equalWidth="0" w:num="2">
            <w:col w:w="4209" w:space="425"/>
            <w:col w:w="4209"/>
          </w:cols>
          <w:docGrid w:type="lines" w:linePitch="312" w:charSpace="0"/>
        </w:sectPr>
      </w:pPr>
    </w:p>
    <w:p>
      <w:pPr>
        <w:snapToGrid w:val="0"/>
        <w:spacing w:beforeLines="50" w:after="120" w:line="520" w:lineRule="exact"/>
        <w:ind w:firstLine="640" w:firstLineChars="200"/>
        <w:jc w:val="left"/>
        <w:rPr>
          <w:rFonts w:ascii="仿宋" w:hAnsi="仿宋" w:eastAsia="仿宋"/>
          <w:bCs/>
          <w:sz w:val="32"/>
          <w:szCs w:val="32"/>
        </w:rPr>
      </w:pPr>
      <w:r>
        <w:rPr>
          <w:rFonts w:ascii="仿宋" w:hAnsi="仿宋" w:eastAsia="仿宋"/>
          <w:bCs/>
          <w:sz w:val="32"/>
          <w:szCs w:val="32"/>
        </w:rPr>
        <w:t>第七条 固定资产的计价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（一）购入、调入的固定资产，按照实际支付的买进价格、调拨价格以及运杂、保险、包装、安装等发生的附加费用计价；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（二）自行制造、建造的固定资产，按制造、建造过程中实际发生的支出费用计价；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（三）在原有固定资产基础上进行改造、改建的固定资产，应按改造、改建时所发生的支出费用减去改造、改建过程中发生变价收入后的净增加值，增记固定资产账；</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（四）接受捐赠的固定资产，按照同类固定资产的市场价格或者有关凭证记账，接受捐赠固定资产时发生的相关费用应计入固定资产价值；</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（五）无偿调入的固定资产，不能查明原值的，按照估价入账计价；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（六）盘盈的固定资产，按照重置完全价值入账计价；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（七）已投入使用，但尚未办理移交手续的固定资产，可先按估价入账计价，待确定实际价值后，再进行调整；</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（八）用外币进口的设备，按当时的汇率折合成人民币金额，加上国外部分的运费及其他费用（外币应折合成人民币金额）再加上支付的相关税费等计价；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第八条</w:t>
      </w:r>
      <w:r>
        <w:rPr>
          <w:rFonts w:ascii="仿宋" w:hAnsi="仿宋" w:eastAsia="仿宋"/>
          <w:sz w:val="32"/>
          <w:szCs w:val="32"/>
        </w:rPr>
        <w:t xml:space="preserve"> 固定资产的价值变动，由资产管理处负责办理，并及时通知财务部门对固定资产有关账目作相应调整。已经入账的固定资产，除发生下列情况外，不得随意变动固定资产账面价值。</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（一）根据国家规定对固定资产价值重新估价；</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（二）增加、补充、改造或拆除部分固定资产；</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（三）根据实际价值调整原来的暂估价值；</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（四）发现原固定资产记账有误。</w:t>
      </w:r>
    </w:p>
    <w:p>
      <w:pPr>
        <w:pStyle w:val="3"/>
        <w:spacing w:before="100" w:beforeAutospacing="1" w:after="100" w:afterAutospacing="1"/>
        <w:jc w:val="center"/>
        <w:rPr>
          <w:b w:val="0"/>
          <w:bCs/>
        </w:rPr>
      </w:pPr>
      <w:bookmarkStart w:id="6" w:name="_Toc85616168"/>
      <w:r>
        <w:rPr>
          <w:b w:val="0"/>
          <w:bCs/>
        </w:rPr>
        <w:t xml:space="preserve">第三章 </w:t>
      </w:r>
      <w:r>
        <w:rPr>
          <w:rFonts w:hint="eastAsia"/>
          <w:b w:val="0"/>
          <w:bCs/>
        </w:rPr>
        <w:t xml:space="preserve">  </w:t>
      </w:r>
      <w:r>
        <w:rPr>
          <w:b w:val="0"/>
          <w:bCs/>
        </w:rPr>
        <w:t>固定资产管理机构及工作职责</w:t>
      </w:r>
      <w:bookmarkEnd w:id="6"/>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第九条</w:t>
      </w:r>
      <w:r>
        <w:rPr>
          <w:rFonts w:ascii="仿宋" w:hAnsi="仿宋" w:eastAsia="仿宋"/>
          <w:sz w:val="32"/>
          <w:szCs w:val="32"/>
        </w:rPr>
        <w:t xml:space="preserve"> 资产管理处代表学校对全校固定资产实施统一管理和监督，并在主管校领导的</w:t>
      </w:r>
      <w:r>
        <w:rPr>
          <w:rFonts w:hint="eastAsia" w:ascii="仿宋" w:hAnsi="仿宋" w:eastAsia="仿宋"/>
          <w:sz w:val="32"/>
          <w:szCs w:val="32"/>
        </w:rPr>
        <w:t>领</w:t>
      </w:r>
      <w:r>
        <w:rPr>
          <w:rFonts w:ascii="仿宋" w:hAnsi="仿宋" w:eastAsia="仿宋"/>
          <w:sz w:val="32"/>
          <w:szCs w:val="32"/>
        </w:rPr>
        <w:t>导下，开展各项工作。主要职责如下：</w:t>
      </w:r>
    </w:p>
    <w:p>
      <w:pPr>
        <w:snapToGrid w:val="0"/>
        <w:spacing w:after="120" w:line="312" w:lineRule="auto"/>
        <w:ind w:firstLine="553" w:firstLineChars="173"/>
        <w:jc w:val="left"/>
        <w:rPr>
          <w:rFonts w:ascii="仿宋" w:hAnsi="仿宋" w:eastAsia="仿宋"/>
          <w:sz w:val="32"/>
          <w:szCs w:val="32"/>
        </w:rPr>
      </w:pPr>
      <w:r>
        <w:rPr>
          <w:rFonts w:ascii="仿宋" w:hAnsi="仿宋" w:eastAsia="仿宋"/>
          <w:sz w:val="32"/>
          <w:szCs w:val="32"/>
        </w:rPr>
        <w:t>（一）负责全校相关固定资产的账目管理、清查、上报工作及相关证件的归档工作，负责学校的资产信息库的管理和维护工作；</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（二）负责全校教学、科研、行政仪器设备、文物及陈列品、家具、低值耐用品等资产的统筹管理；</w:t>
      </w:r>
    </w:p>
    <w:p>
      <w:pPr>
        <w:snapToGrid w:val="0"/>
        <w:spacing w:after="120" w:line="312" w:lineRule="auto"/>
        <w:ind w:firstLine="555"/>
        <w:jc w:val="left"/>
        <w:rPr>
          <w:rFonts w:ascii="仿宋" w:hAnsi="仿宋" w:eastAsia="仿宋"/>
          <w:sz w:val="32"/>
          <w:szCs w:val="32"/>
        </w:rPr>
      </w:pPr>
      <w:r>
        <w:rPr>
          <w:rFonts w:ascii="仿宋" w:hAnsi="仿宋" w:eastAsia="仿宋"/>
          <w:sz w:val="32"/>
          <w:szCs w:val="32"/>
        </w:rPr>
        <w:t>（三）与采购部门配合</w:t>
      </w:r>
      <w:r>
        <w:rPr>
          <w:rFonts w:hint="eastAsia" w:ascii="仿宋" w:hAnsi="仿宋" w:eastAsia="仿宋"/>
          <w:sz w:val="32"/>
          <w:szCs w:val="32"/>
        </w:rPr>
        <w:t>开展</w:t>
      </w:r>
      <w:r>
        <w:rPr>
          <w:rFonts w:ascii="仿宋" w:hAnsi="仿宋" w:eastAsia="仿宋"/>
          <w:sz w:val="32"/>
          <w:szCs w:val="32"/>
        </w:rPr>
        <w:t>学校资产及相关物资申购的审核工作</w:t>
      </w:r>
      <w:r>
        <w:rPr>
          <w:rFonts w:hint="eastAsia" w:ascii="仿宋" w:hAnsi="仿宋" w:eastAsia="仿宋"/>
          <w:sz w:val="32"/>
          <w:szCs w:val="32"/>
        </w:rPr>
        <w:t>。</w:t>
      </w:r>
    </w:p>
    <w:p>
      <w:pPr>
        <w:snapToGrid w:val="0"/>
        <w:spacing w:after="120" w:line="312" w:lineRule="auto"/>
        <w:ind w:firstLine="555"/>
        <w:jc w:val="left"/>
        <w:rPr>
          <w:rFonts w:ascii="仿宋" w:hAnsi="仿宋" w:eastAsia="仿宋"/>
          <w:sz w:val="32"/>
          <w:szCs w:val="32"/>
        </w:rPr>
      </w:pPr>
      <w:r>
        <w:rPr>
          <w:rFonts w:ascii="仿宋" w:hAnsi="仿宋" w:eastAsia="仿宋"/>
          <w:sz w:val="32"/>
          <w:szCs w:val="32"/>
        </w:rPr>
        <w:t>（四）负责学校相关资产的验收、入账、调拨，仪器设备、家具的报修及报废的管理工作。</w:t>
      </w:r>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第十条</w:t>
      </w:r>
      <w:r>
        <w:rPr>
          <w:rFonts w:ascii="仿宋" w:hAnsi="仿宋" w:eastAsia="仿宋"/>
          <w:sz w:val="32"/>
          <w:szCs w:val="32"/>
        </w:rPr>
        <w:t xml:space="preserve"> 学校各处级单位是固定资产二级管理单位，对其所管理使用的固定资产实施日常管理，主要职责如下：</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（一）负责本部门固定资产的账目管理工作。定期与使用人核对资产账目，及时到资产管理处进行账务调整，做到账实相符；</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（二）负责做好本部门固定资产的申购，完善申购信息，标明使用需求，包括品牌、型号、材质等；</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（三）配合资产管理处做好本部门的资产验收工作，及时办理资产入账手续，督促、检查使用人做好条形码等标签的粘贴工作；</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（四）负责对本部门人员在工作调转、退休等情况下的资产交接、变更上报及相应手续的办理工作；</w:t>
      </w:r>
    </w:p>
    <w:p>
      <w:pPr>
        <w:snapToGrid w:val="0"/>
        <w:spacing w:after="120" w:line="520" w:lineRule="exact"/>
        <w:ind w:firstLine="640" w:firstLineChars="200"/>
        <w:jc w:val="left"/>
        <w:rPr>
          <w:rFonts w:ascii="仿宋" w:hAnsi="仿宋" w:eastAsia="仿宋"/>
          <w:sz w:val="32"/>
          <w:szCs w:val="32"/>
        </w:rPr>
      </w:pPr>
      <w:r>
        <w:rPr>
          <w:rFonts w:ascii="仿宋" w:hAnsi="仿宋" w:eastAsia="仿宋"/>
          <w:sz w:val="32"/>
          <w:szCs w:val="32"/>
        </w:rPr>
        <w:t>（五）负责本部门资产的借用、丢失、报损、报废的报告及相关手续的办理工作；</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（六）负责对本部门的闲置资产进行登记和统计，在资产管理处指导下，对闲置资产进行合理调剂，并做好相关账目的变更工作；</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（七）负责对本部门接受捐赠或赞助的物品进行统计，及时上报资产管理处；</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（八）负责检查本单位资产的使用情况, 督促使用人管好、用好固定资产，</w:t>
      </w:r>
      <w:r>
        <w:rPr>
          <w:rFonts w:hint="eastAsia" w:ascii="仿宋" w:hAnsi="仿宋" w:eastAsia="仿宋"/>
          <w:sz w:val="32"/>
          <w:szCs w:val="32"/>
        </w:rPr>
        <w:t>提高资产使用率和完好率，</w:t>
      </w:r>
      <w:r>
        <w:rPr>
          <w:rFonts w:ascii="仿宋" w:hAnsi="仿宋" w:eastAsia="仿宋"/>
          <w:sz w:val="32"/>
          <w:szCs w:val="32"/>
        </w:rPr>
        <w:t>发现问题及时向部门主管领导和资产管理处报告。</w:t>
      </w:r>
    </w:p>
    <w:p>
      <w:pPr>
        <w:pStyle w:val="3"/>
        <w:spacing w:before="100" w:beforeAutospacing="1" w:after="100" w:afterAutospacing="1"/>
        <w:jc w:val="center"/>
        <w:rPr>
          <w:b w:val="0"/>
          <w:bCs/>
        </w:rPr>
      </w:pPr>
      <w:bookmarkStart w:id="7" w:name="_Toc85616169"/>
      <w:r>
        <w:rPr>
          <w:b w:val="0"/>
          <w:bCs/>
        </w:rPr>
        <w:t>第四章</w:t>
      </w:r>
      <w:r>
        <w:rPr>
          <w:rFonts w:hint="eastAsia"/>
          <w:b w:val="0"/>
          <w:bCs/>
        </w:rPr>
        <w:t xml:space="preserve">   </w:t>
      </w:r>
      <w:r>
        <w:rPr>
          <w:b w:val="0"/>
          <w:bCs/>
        </w:rPr>
        <w:t>固定资产的购置、验收及入账</w:t>
      </w:r>
      <w:bookmarkEnd w:id="7"/>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第十一条</w:t>
      </w:r>
      <w:r>
        <w:rPr>
          <w:rFonts w:ascii="仿宋" w:hAnsi="仿宋" w:eastAsia="仿宋"/>
          <w:sz w:val="32"/>
          <w:szCs w:val="32"/>
        </w:rPr>
        <w:t xml:space="preserve"> 固定资产采购的审批</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（一）所有采购项目必须经学校审批，按照审批结果执行采购；</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（二）经学校审批后，允许执行采购的项目由后勤服务中心进行采购，需进行招标采购的，按采购</w:t>
      </w:r>
      <w:r>
        <w:rPr>
          <w:rFonts w:hint="eastAsia" w:ascii="仿宋" w:hAnsi="仿宋" w:eastAsia="仿宋"/>
          <w:sz w:val="32"/>
          <w:szCs w:val="32"/>
        </w:rPr>
        <w:t>管理</w:t>
      </w:r>
      <w:r>
        <w:rPr>
          <w:rFonts w:ascii="仿宋" w:hAnsi="仿宋" w:eastAsia="仿宋"/>
          <w:sz w:val="32"/>
          <w:szCs w:val="32"/>
        </w:rPr>
        <w:t>办法执行。</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第十二条</w:t>
      </w:r>
      <w:r>
        <w:rPr>
          <w:rFonts w:ascii="仿宋" w:hAnsi="仿宋" w:eastAsia="仿宋"/>
          <w:sz w:val="32"/>
          <w:szCs w:val="32"/>
        </w:rPr>
        <w:t xml:space="preserve"> 固定资产的验收、入账</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（一)固定资产验收工作应严格按照《长春大学旅游学院仪器设备、家具验收办法》等规定进行；</w:t>
      </w:r>
    </w:p>
    <w:p>
      <w:pPr>
        <w:snapToGrid w:val="0"/>
        <w:spacing w:line="520" w:lineRule="exact"/>
        <w:ind w:firstLine="640" w:firstLineChars="200"/>
        <w:jc w:val="left"/>
        <w:rPr>
          <w:rFonts w:ascii="仿宋" w:hAnsi="仿宋" w:eastAsia="仿宋"/>
          <w:sz w:val="32"/>
          <w:szCs w:val="32"/>
        </w:rPr>
      </w:pPr>
      <w:r>
        <w:rPr>
          <w:rFonts w:ascii="仿宋" w:hAnsi="仿宋" w:eastAsia="仿宋"/>
          <w:sz w:val="32"/>
          <w:szCs w:val="32"/>
        </w:rPr>
        <w:t>（二）经验收合格后，依据验收结果入账。</w:t>
      </w:r>
    </w:p>
    <w:p>
      <w:pPr>
        <w:pStyle w:val="3"/>
        <w:spacing w:before="100" w:beforeAutospacing="1" w:after="100" w:afterAutospacing="1"/>
        <w:jc w:val="center"/>
        <w:rPr>
          <w:b w:val="0"/>
          <w:bCs/>
        </w:rPr>
      </w:pPr>
      <w:bookmarkStart w:id="8" w:name="_Toc85616170"/>
      <w:r>
        <w:rPr>
          <w:b w:val="0"/>
          <w:bCs/>
        </w:rPr>
        <w:t>第五章</w:t>
      </w:r>
      <w:r>
        <w:rPr>
          <w:rFonts w:hint="eastAsia"/>
          <w:b w:val="0"/>
          <w:bCs/>
        </w:rPr>
        <w:t xml:space="preserve">   </w:t>
      </w:r>
      <w:r>
        <w:rPr>
          <w:b w:val="0"/>
          <w:bCs/>
        </w:rPr>
        <w:t>固定资产的使用管理</w:t>
      </w:r>
      <w:bookmarkEnd w:id="8"/>
    </w:p>
    <w:p>
      <w:pPr>
        <w:snapToGrid w:val="0"/>
        <w:spacing w:after="120" w:line="520" w:lineRule="exact"/>
        <w:ind w:firstLine="640" w:firstLineChars="200"/>
        <w:jc w:val="left"/>
        <w:rPr>
          <w:rFonts w:ascii="仿宋" w:hAnsi="仿宋" w:eastAsia="仿宋"/>
          <w:sz w:val="32"/>
          <w:szCs w:val="32"/>
        </w:rPr>
      </w:pPr>
      <w:r>
        <w:rPr>
          <w:rFonts w:ascii="仿宋" w:hAnsi="仿宋" w:eastAsia="仿宋"/>
          <w:bCs/>
          <w:sz w:val="32"/>
          <w:szCs w:val="32"/>
        </w:rPr>
        <w:t>第十三条</w:t>
      </w:r>
      <w:r>
        <w:rPr>
          <w:rFonts w:ascii="仿宋" w:hAnsi="仿宋" w:eastAsia="仿宋"/>
          <w:sz w:val="32"/>
          <w:szCs w:val="32"/>
        </w:rPr>
        <w:t>学校加强固定资产的使用管理，建立健全固定资产使用效益管理体系，规范各单位科学、合理利用固定资产。</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第十四条</w:t>
      </w:r>
      <w:r>
        <w:rPr>
          <w:rFonts w:ascii="仿宋" w:hAnsi="仿宋" w:eastAsia="仿宋"/>
          <w:sz w:val="32"/>
          <w:szCs w:val="32"/>
        </w:rPr>
        <w:t xml:space="preserve"> 固定资产实行清查盘点制度，学校定期开展固定资产清查盘点工作，确保固定资产账物相符。</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第十五条</w:t>
      </w:r>
      <w:r>
        <w:rPr>
          <w:rFonts w:ascii="仿宋" w:hAnsi="仿宋" w:eastAsia="仿宋"/>
          <w:sz w:val="32"/>
          <w:szCs w:val="32"/>
        </w:rPr>
        <w:t xml:space="preserve"> 领用学校固定资产的教职工，在工作岗位发生变动时（如调动、离职、退休等），应及时办理固定资产交接手续，并经所在单位负责人、资产管理处等相关部门签字确认后，人事部门方可办理相关</w:t>
      </w:r>
      <w:r>
        <w:rPr>
          <w:rFonts w:hint="eastAsia" w:ascii="仿宋" w:hAnsi="仿宋" w:eastAsia="仿宋"/>
          <w:sz w:val="32"/>
          <w:szCs w:val="32"/>
        </w:rPr>
        <w:t>人事变动</w:t>
      </w:r>
      <w:r>
        <w:rPr>
          <w:rFonts w:ascii="仿宋" w:hAnsi="仿宋" w:eastAsia="仿宋"/>
          <w:sz w:val="32"/>
          <w:szCs w:val="32"/>
        </w:rPr>
        <w:t>手续。</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第十六条</w:t>
      </w:r>
      <w:r>
        <w:rPr>
          <w:rFonts w:ascii="仿宋" w:hAnsi="仿宋" w:eastAsia="仿宋"/>
          <w:sz w:val="32"/>
          <w:szCs w:val="32"/>
        </w:rPr>
        <w:t xml:space="preserve"> 为保障学校固定资产资源的优化配置、合理布局、高效利用，资产管理处有权对校内长期闲置、低效运转、超标准配置的固定资产进行合理调剂；大型仪器设备要实行资源共享。</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第十七条</w:t>
      </w:r>
      <w:r>
        <w:rPr>
          <w:rFonts w:ascii="仿宋" w:hAnsi="仿宋" w:eastAsia="仿宋"/>
          <w:sz w:val="32"/>
          <w:szCs w:val="32"/>
        </w:rPr>
        <w:t xml:space="preserve"> 资产管理处设置固定资产明细账。</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第十八条</w:t>
      </w:r>
      <w:r>
        <w:rPr>
          <w:rFonts w:ascii="仿宋" w:hAnsi="仿宋" w:eastAsia="仿宋"/>
          <w:sz w:val="32"/>
          <w:szCs w:val="32"/>
        </w:rPr>
        <w:t xml:space="preserve"> 资产管理处负责学校相关资产的调拨，仪器设备、家具的报修管理工作。</w:t>
      </w:r>
    </w:p>
    <w:p>
      <w:pPr>
        <w:pStyle w:val="3"/>
        <w:spacing w:before="100" w:beforeAutospacing="1" w:after="100" w:afterAutospacing="1"/>
        <w:jc w:val="center"/>
        <w:rPr>
          <w:b w:val="0"/>
          <w:bCs/>
        </w:rPr>
      </w:pPr>
      <w:bookmarkStart w:id="9" w:name="_Toc85616171"/>
      <w:r>
        <w:rPr>
          <w:b w:val="0"/>
          <w:bCs/>
        </w:rPr>
        <w:t>第六章</w:t>
      </w:r>
      <w:r>
        <w:rPr>
          <w:rFonts w:hint="eastAsia"/>
          <w:b w:val="0"/>
          <w:bCs/>
        </w:rPr>
        <w:t xml:space="preserve">   </w:t>
      </w:r>
      <w:r>
        <w:rPr>
          <w:b w:val="0"/>
          <w:bCs/>
        </w:rPr>
        <w:t>固定资产的处置管理</w:t>
      </w:r>
      <w:bookmarkEnd w:id="9"/>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第十九条</w:t>
      </w:r>
      <w:r>
        <w:rPr>
          <w:rFonts w:ascii="仿宋" w:hAnsi="仿宋" w:eastAsia="仿宋"/>
          <w:sz w:val="32"/>
          <w:szCs w:val="32"/>
        </w:rPr>
        <w:t xml:space="preserve"> 学校固定资产的处置，是指学校依照有关规定对使用的固定资产进行产权转让或注销产权的行为，处置方式包括：转让、对外捐赠、报损、报废等，具体按长春大学旅游学院固定资产销帐程序办理。</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第二十条</w:t>
      </w:r>
      <w:r>
        <w:rPr>
          <w:rFonts w:ascii="仿宋" w:hAnsi="仿宋" w:eastAsia="仿宋"/>
          <w:sz w:val="32"/>
          <w:szCs w:val="32"/>
        </w:rPr>
        <w:t xml:space="preserve"> 学校固定资产处置工作由资产管理处统一办理，其他任何单位和个人无权处置学校固定资产。</w:t>
      </w:r>
    </w:p>
    <w:p>
      <w:pPr>
        <w:pStyle w:val="3"/>
        <w:spacing w:before="100" w:beforeAutospacing="1" w:after="100" w:afterAutospacing="1"/>
        <w:jc w:val="center"/>
        <w:rPr>
          <w:b w:val="0"/>
          <w:bCs/>
        </w:rPr>
      </w:pPr>
      <w:bookmarkStart w:id="10" w:name="_Toc85616172"/>
      <w:r>
        <w:rPr>
          <w:b w:val="0"/>
          <w:bCs/>
        </w:rPr>
        <w:t>第七章</w:t>
      </w:r>
      <w:r>
        <w:rPr>
          <w:rFonts w:hint="eastAsia"/>
          <w:b w:val="0"/>
          <w:bCs/>
        </w:rPr>
        <w:t xml:space="preserve">   </w:t>
      </w:r>
      <w:r>
        <w:rPr>
          <w:b w:val="0"/>
          <w:bCs/>
        </w:rPr>
        <w:t>附 则</w:t>
      </w:r>
      <w:bookmarkEnd w:id="10"/>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第二十一条</w:t>
      </w:r>
      <w:r>
        <w:rPr>
          <w:rFonts w:ascii="仿宋" w:hAnsi="仿宋" w:eastAsia="仿宋"/>
          <w:sz w:val="32"/>
          <w:szCs w:val="32"/>
        </w:rPr>
        <w:t xml:space="preserve"> 单价不足800元的低值耐用品也要分类登记，参照本办法执行。</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第二十二条</w:t>
      </w:r>
      <w:r>
        <w:rPr>
          <w:rFonts w:ascii="仿宋" w:hAnsi="仿宋" w:eastAsia="仿宋"/>
          <w:sz w:val="32"/>
          <w:szCs w:val="32"/>
        </w:rPr>
        <w:t xml:space="preserve"> 本办法由资产管理处负责解释。</w:t>
      </w:r>
    </w:p>
    <w:p>
      <w:pPr>
        <w:snapToGrid w:val="0"/>
        <w:spacing w:line="520" w:lineRule="exact"/>
        <w:ind w:firstLine="640" w:firstLineChars="200"/>
        <w:jc w:val="left"/>
        <w:rPr>
          <w:rFonts w:ascii="仿宋" w:hAnsi="仿宋" w:eastAsia="仿宋"/>
          <w:sz w:val="32"/>
          <w:szCs w:val="32"/>
        </w:rPr>
      </w:pPr>
      <w:r>
        <w:rPr>
          <w:rFonts w:ascii="仿宋" w:hAnsi="仿宋" w:eastAsia="仿宋"/>
          <w:bCs/>
          <w:sz w:val="32"/>
          <w:szCs w:val="32"/>
        </w:rPr>
        <w:t>第二十三条</w:t>
      </w:r>
      <w:r>
        <w:rPr>
          <w:rFonts w:ascii="仿宋" w:hAnsi="仿宋" w:eastAsia="仿宋"/>
          <w:sz w:val="32"/>
          <w:szCs w:val="32"/>
        </w:rPr>
        <w:t xml:space="preserve"> 本办法自发布之日起施行，原管理办法同时废止。</w:t>
      </w:r>
    </w:p>
    <w:p>
      <w:pPr>
        <w:ind w:firstLine="640" w:firstLineChars="200"/>
        <w:jc w:val="left"/>
        <w:rPr>
          <w:rFonts w:ascii="仿宋" w:hAnsi="仿宋" w:eastAsia="仿宋"/>
          <w:sz w:val="32"/>
          <w:szCs w:val="32"/>
        </w:rPr>
      </w:pPr>
      <w:r>
        <w:rPr>
          <w:rFonts w:hint="eastAsia" w:ascii="仿宋" w:hAnsi="仿宋" w:eastAsia="仿宋"/>
          <w:sz w:val="32"/>
          <w:szCs w:val="32"/>
        </w:rPr>
        <w:t>附件一：固定资产管理流程图</w:t>
      </w:r>
    </w:p>
    <w:p>
      <w:pPr>
        <w:snapToGrid w:val="0"/>
        <w:spacing w:line="520" w:lineRule="exact"/>
        <w:ind w:firstLine="640" w:firstLineChars="200"/>
        <w:jc w:val="left"/>
        <w:rPr>
          <w:rFonts w:ascii="仿宋" w:hAnsi="仿宋" w:eastAsia="仿宋"/>
          <w:sz w:val="32"/>
          <w:szCs w:val="32"/>
        </w:rPr>
      </w:pPr>
    </w:p>
    <w:p>
      <w:pPr>
        <w:snapToGrid w:val="0"/>
        <w:spacing w:after="120" w:line="520" w:lineRule="exact"/>
        <w:ind w:firstLine="640" w:firstLineChars="200"/>
        <w:jc w:val="left"/>
        <w:rPr>
          <w:rFonts w:ascii="仿宋" w:hAnsi="仿宋" w:eastAsia="仿宋"/>
          <w:sz w:val="32"/>
          <w:szCs w:val="32"/>
        </w:rPr>
      </w:pPr>
    </w:p>
    <w:p>
      <w:pPr>
        <w:snapToGrid w:val="0"/>
        <w:spacing w:after="120" w:line="520" w:lineRule="exact"/>
        <w:ind w:firstLine="640" w:firstLineChars="200"/>
        <w:jc w:val="left"/>
        <w:rPr>
          <w:rFonts w:ascii="仿宋" w:hAnsi="仿宋" w:eastAsia="仿宋"/>
          <w:sz w:val="32"/>
          <w:szCs w:val="32"/>
        </w:rPr>
      </w:pPr>
    </w:p>
    <w:p>
      <w:pPr>
        <w:snapToGrid w:val="0"/>
        <w:spacing w:after="120" w:line="520" w:lineRule="exact"/>
        <w:ind w:firstLine="640" w:firstLineChars="200"/>
        <w:jc w:val="left"/>
        <w:rPr>
          <w:rFonts w:ascii="仿宋" w:hAnsi="仿宋" w:eastAsia="仿宋"/>
          <w:sz w:val="32"/>
          <w:szCs w:val="32"/>
        </w:rPr>
      </w:pPr>
    </w:p>
    <w:p>
      <w:pPr>
        <w:snapToGrid w:val="0"/>
        <w:spacing w:after="120" w:line="520" w:lineRule="exact"/>
        <w:ind w:firstLine="640" w:firstLineChars="200"/>
        <w:jc w:val="left"/>
        <w:rPr>
          <w:rFonts w:ascii="仿宋" w:hAnsi="仿宋" w:eastAsia="仿宋"/>
          <w:sz w:val="32"/>
          <w:szCs w:val="32"/>
        </w:rPr>
      </w:pPr>
    </w:p>
    <w:p>
      <w:pPr>
        <w:snapToGrid w:val="0"/>
        <w:spacing w:after="120" w:line="520" w:lineRule="exact"/>
        <w:ind w:firstLine="640" w:firstLineChars="200"/>
        <w:jc w:val="left"/>
        <w:rPr>
          <w:rFonts w:ascii="仿宋" w:hAnsi="仿宋" w:eastAsia="仿宋"/>
          <w:sz w:val="32"/>
          <w:szCs w:val="32"/>
        </w:rPr>
      </w:pPr>
    </w:p>
    <w:p>
      <w:pPr>
        <w:snapToGrid w:val="0"/>
        <w:spacing w:after="120" w:line="520" w:lineRule="exact"/>
        <w:ind w:firstLine="640" w:firstLineChars="200"/>
        <w:jc w:val="left"/>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pStyle w:val="2"/>
        <w:snapToGrid w:val="0"/>
        <w:ind w:left="420" w:leftChars="200" w:right="420" w:rightChars="200"/>
        <w:jc w:val="center"/>
        <w:rPr>
          <w:rFonts w:ascii="方正小标宋简体" w:hAnsi="仿宋" w:eastAsia="方正小标宋简体"/>
          <w:b w:val="0"/>
          <w:color w:val="auto"/>
          <w:sz w:val="44"/>
          <w:szCs w:val="44"/>
        </w:rPr>
      </w:pPr>
      <w:bookmarkStart w:id="11" w:name="_Toc85616709"/>
      <w:r>
        <w:rPr>
          <w:rFonts w:ascii="方正小标宋简体" w:hAnsi="仿宋" w:eastAsia="方正小标宋简体"/>
          <w:b w:val="0"/>
          <w:color w:val="auto"/>
          <w:sz w:val="44"/>
          <w:szCs w:val="44"/>
        </w:rPr>
        <w:fldChar w:fldCharType="begin"/>
      </w:r>
      <w:r>
        <w:rPr>
          <w:rFonts w:ascii="方正小标宋简体" w:hAnsi="仿宋" w:eastAsia="方正小标宋简体"/>
          <w:b w:val="0"/>
          <w:color w:val="auto"/>
          <w:sz w:val="44"/>
          <w:szCs w:val="44"/>
        </w:rPr>
        <w:instrText xml:space="preserve"> HYPERLINK  \l "_目__" </w:instrText>
      </w:r>
      <w:r>
        <w:rPr>
          <w:rFonts w:ascii="方正小标宋简体" w:hAnsi="仿宋" w:eastAsia="方正小标宋简体"/>
          <w:b w:val="0"/>
          <w:color w:val="auto"/>
          <w:sz w:val="44"/>
          <w:szCs w:val="44"/>
        </w:rPr>
        <w:fldChar w:fldCharType="separate"/>
      </w:r>
      <w:r>
        <w:rPr>
          <w:rStyle w:val="16"/>
          <w:rFonts w:hint="eastAsia" w:ascii="方正小标宋简体" w:hAnsi="仿宋" w:eastAsia="方正小标宋简体"/>
          <w:b w:val="0"/>
          <w:color w:val="auto"/>
          <w:sz w:val="44"/>
          <w:szCs w:val="44"/>
          <w:u w:val="none"/>
        </w:rPr>
        <w:t>长春大学旅游学院固定资产、低值易耗品验收暂行办法</w:t>
      </w:r>
      <w:bookmarkEnd w:id="11"/>
      <w:r>
        <w:rPr>
          <w:rFonts w:ascii="方正小标宋简体" w:hAnsi="仿宋" w:eastAsia="方正小标宋简体"/>
          <w:b w:val="0"/>
          <w:color w:val="auto"/>
          <w:sz w:val="44"/>
          <w:szCs w:val="44"/>
        </w:rPr>
        <w:fldChar w:fldCharType="end"/>
      </w:r>
    </w:p>
    <w:p>
      <w:pPr>
        <w:pStyle w:val="3"/>
        <w:spacing w:before="100" w:beforeAutospacing="1" w:after="100" w:afterAutospacing="1"/>
        <w:jc w:val="center"/>
        <w:rPr>
          <w:b w:val="0"/>
          <w:bCs/>
        </w:rPr>
      </w:pPr>
      <w:bookmarkStart w:id="12" w:name="_Toc85616174"/>
      <w:r>
        <w:rPr>
          <w:b w:val="0"/>
          <w:bCs/>
        </w:rPr>
        <w:t>第一章</w:t>
      </w:r>
      <w:r>
        <w:rPr>
          <w:rFonts w:hint="eastAsia"/>
          <w:b w:val="0"/>
          <w:bCs/>
        </w:rPr>
        <w:t xml:space="preserve">  </w:t>
      </w:r>
      <w:r>
        <w:rPr>
          <w:b w:val="0"/>
          <w:bCs/>
        </w:rPr>
        <w:t>总</w:t>
      </w:r>
      <w:r>
        <w:rPr>
          <w:rFonts w:hint="eastAsia"/>
          <w:b w:val="0"/>
          <w:bCs/>
        </w:rPr>
        <w:t xml:space="preserve"> </w:t>
      </w:r>
      <w:r>
        <w:rPr>
          <w:b w:val="0"/>
          <w:bCs/>
        </w:rPr>
        <w:t>则</w:t>
      </w:r>
      <w:bookmarkEnd w:id="12"/>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第一条 为加强学校仪器设备、家具、低值易耗品管理，满足教学、科研及行政办公要求的性能指标，确保教学、科研及行政办公的正常运行，根据国家有关法律法规及《长春大学旅游学院固定资产管理暂行办法》的相关规定，结合学校实际，制定本办法。</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第二条 资产管理处负责组织验收,召集验收小组成员、专业技术人员、使用单位管理人员、使用人、采购人员等进行分类验收。</w:t>
      </w:r>
    </w:p>
    <w:p>
      <w:pPr>
        <w:pStyle w:val="3"/>
        <w:spacing w:before="100" w:beforeAutospacing="1" w:after="100" w:afterAutospacing="1"/>
        <w:jc w:val="center"/>
        <w:rPr>
          <w:b w:val="0"/>
          <w:bCs/>
        </w:rPr>
      </w:pPr>
      <w:bookmarkStart w:id="13" w:name="_Toc85616175"/>
      <w:r>
        <w:rPr>
          <w:b w:val="0"/>
          <w:bCs/>
        </w:rPr>
        <w:t>第二章</w:t>
      </w:r>
      <w:r>
        <w:rPr>
          <w:rFonts w:hint="eastAsia"/>
          <w:b w:val="0"/>
          <w:bCs/>
        </w:rPr>
        <w:t xml:space="preserve">  </w:t>
      </w:r>
      <w:r>
        <w:rPr>
          <w:b w:val="0"/>
          <w:bCs/>
        </w:rPr>
        <w:t>验收的程序及内容</w:t>
      </w:r>
      <w:bookmarkEnd w:id="13"/>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 xml:space="preserve">第三条 </w:t>
      </w:r>
      <w:r>
        <w:rPr>
          <w:rFonts w:hint="eastAsia" w:ascii="仿宋" w:hAnsi="仿宋" w:eastAsia="仿宋"/>
          <w:sz w:val="32"/>
          <w:szCs w:val="32"/>
        </w:rPr>
        <w:t>集中采购的低值易耗品</w:t>
      </w:r>
      <w:r>
        <w:rPr>
          <w:rFonts w:ascii="仿宋" w:hAnsi="仿宋" w:eastAsia="仿宋"/>
          <w:sz w:val="32"/>
          <w:szCs w:val="32"/>
        </w:rPr>
        <w:t>验收：是针对低值易耗品的数量、质量验收。</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（一）验收依据：购置审批表和发票。</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（二）验收方式：在资产管理处组织管理下，由使用单位负责人、使用单位的资产管理人员与具体使用人员共同验收，经资产管理处审核。</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（三）验收时间：货到后，发票、相关资料等齐全后10个工作日内完成。</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（四）验收程序：</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1.首先核对包装件数和检查包装完整情况。开箱后，凭购置审批表与发票、票据、清单清点，核对规格、型号、数量、随机文件（合格证、说明书）、材质及其它具体要求等。</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2.对实物如有异议，立即通报采购负责人并与供应商联系，提出具体处理意见。</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3.对实物无异议，</w:t>
      </w:r>
      <w:r>
        <w:rPr>
          <w:rFonts w:hint="eastAsia" w:ascii="仿宋" w:hAnsi="仿宋" w:eastAsia="仿宋"/>
          <w:sz w:val="32"/>
          <w:szCs w:val="32"/>
        </w:rPr>
        <w:t>验收合格后</w:t>
      </w:r>
      <w:r>
        <w:rPr>
          <w:rFonts w:ascii="仿宋" w:hAnsi="仿宋" w:eastAsia="仿宋"/>
          <w:sz w:val="32"/>
          <w:szCs w:val="32"/>
        </w:rPr>
        <w:t>填写验收单。</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第四条 一般固定资产验收：是针对一般仪器设备及软件、家具等的数量、质量验收。</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（一）验收依据：购置审批表或采购合同</w:t>
      </w:r>
      <w:r>
        <w:rPr>
          <w:rFonts w:hint="eastAsia" w:ascii="仿宋" w:hAnsi="仿宋" w:eastAsia="仿宋"/>
          <w:sz w:val="32"/>
          <w:szCs w:val="32"/>
        </w:rPr>
        <w:t>及</w:t>
      </w:r>
      <w:r>
        <w:rPr>
          <w:rFonts w:ascii="仿宋" w:hAnsi="仿宋" w:eastAsia="仿宋"/>
          <w:sz w:val="32"/>
          <w:szCs w:val="32"/>
        </w:rPr>
        <w:t>发票。</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（二）验收方式：在资产管理处组织管理下，由使用单位负责人、使用单位的资产管理人员与具体使用人员共同负责验收，如有特殊需要，申请校内专业人员参加，经使用单位主管副校长或上一级领导审核。</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（三）验收时间：</w:t>
      </w:r>
      <w:r>
        <w:rPr>
          <w:rFonts w:hint="eastAsia" w:ascii="仿宋" w:hAnsi="仿宋" w:eastAsia="仿宋"/>
          <w:sz w:val="32"/>
          <w:szCs w:val="32"/>
        </w:rPr>
        <w:t>在</w:t>
      </w:r>
      <w:r>
        <w:rPr>
          <w:rFonts w:ascii="仿宋" w:hAnsi="仿宋" w:eastAsia="仿宋"/>
          <w:sz w:val="32"/>
          <w:szCs w:val="32"/>
        </w:rPr>
        <w:t>货到</w:t>
      </w:r>
      <w:r>
        <w:rPr>
          <w:rFonts w:hint="eastAsia" w:ascii="仿宋" w:hAnsi="仿宋" w:eastAsia="仿宋"/>
          <w:sz w:val="32"/>
          <w:szCs w:val="32"/>
        </w:rPr>
        <w:t>并</w:t>
      </w:r>
      <w:r>
        <w:rPr>
          <w:rFonts w:ascii="仿宋" w:hAnsi="仿宋" w:eastAsia="仿宋"/>
          <w:sz w:val="32"/>
          <w:szCs w:val="32"/>
        </w:rPr>
        <w:t>安装调试合格，发票和质保信息单等资料齐全后15个工作日内完成。</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（四）验收程序：</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1.首先核对包装件数和检查包装完整情况。开箱后，凭外包装标注清点箱内</w:t>
      </w:r>
      <w:r>
        <w:rPr>
          <w:rFonts w:hint="eastAsia" w:ascii="仿宋" w:hAnsi="仿宋" w:eastAsia="仿宋"/>
          <w:sz w:val="32"/>
          <w:szCs w:val="32"/>
        </w:rPr>
        <w:t>物品</w:t>
      </w:r>
      <w:r>
        <w:rPr>
          <w:rFonts w:ascii="仿宋" w:hAnsi="仿宋" w:eastAsia="仿宋"/>
          <w:sz w:val="32"/>
          <w:szCs w:val="32"/>
        </w:rPr>
        <w:t>数量，凭发票</w:t>
      </w:r>
      <w:r>
        <w:rPr>
          <w:rFonts w:hint="eastAsia" w:ascii="仿宋" w:hAnsi="仿宋" w:eastAsia="仿宋"/>
          <w:sz w:val="32"/>
          <w:szCs w:val="32"/>
        </w:rPr>
        <w:t>及</w:t>
      </w:r>
      <w:r>
        <w:rPr>
          <w:rFonts w:ascii="仿宋" w:hAnsi="仿宋" w:eastAsia="仿宋"/>
          <w:sz w:val="32"/>
          <w:szCs w:val="32"/>
        </w:rPr>
        <w:t>合同清点、核对规格、型号、数量、随机文件（合格证、说明书）、家具的材质及其它具体要求等。</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2.对功能、性能、质量等做检验或试用；对实物表面进行外观检查，是否有粗制滥造、表面损伤等。如有问题做出详细记录，立即通报采购负责人并与供应商联系，提出具体处理意见。</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3.仪器设备、家具等的外观、数量、功能、性能、质量等需满足采购要求。</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4.对实物无异议，</w:t>
      </w:r>
      <w:r>
        <w:rPr>
          <w:rFonts w:hint="eastAsia" w:ascii="仿宋" w:hAnsi="仿宋" w:eastAsia="仿宋"/>
          <w:sz w:val="32"/>
          <w:szCs w:val="32"/>
        </w:rPr>
        <w:t>验收合格后</w:t>
      </w:r>
      <w:r>
        <w:rPr>
          <w:rFonts w:ascii="仿宋" w:hAnsi="仿宋" w:eastAsia="仿宋"/>
          <w:sz w:val="32"/>
          <w:szCs w:val="32"/>
        </w:rPr>
        <w:t>填写验收单。</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第五条 招标类固定资产验收：由验收小组进行验收。</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（一）验收的依据：采购合同（或协议）及清单、发票。</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（二）验收方式：</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由资产管理处组织校内验收小组进行验收。</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验收小组成员：由项目内容决定参加人员，通常有资产管理处、网络中心、教务处、后勤处、使用单位负责人、资产管理员、使用人等其它相关人员组成。如有特殊需要，申请校内外专业人员参加。</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（三）验收的内容是：功能、性能、</w:t>
      </w:r>
      <w:r>
        <w:rPr>
          <w:rFonts w:hint="eastAsia" w:ascii="仿宋" w:hAnsi="仿宋" w:eastAsia="仿宋"/>
          <w:sz w:val="32"/>
          <w:szCs w:val="32"/>
        </w:rPr>
        <w:t>技术标准、</w:t>
      </w:r>
      <w:r>
        <w:rPr>
          <w:rFonts w:ascii="仿宋" w:hAnsi="仿宋" w:eastAsia="仿宋"/>
          <w:sz w:val="32"/>
          <w:szCs w:val="32"/>
        </w:rPr>
        <w:t>精度、质量。</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（四）验收时间：需在安装调试合格和资料齐全后15个工作日内完成验收。</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（五）验收的程序：</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1.使用单位由该设备或软件的使用人员对安装与运行状况做详细记录，填写安装与试用监督日志。</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2.验收小组对仪器设备或软件进行检测其功能、性能、</w:t>
      </w:r>
      <w:r>
        <w:rPr>
          <w:rFonts w:hint="eastAsia" w:ascii="仿宋" w:hAnsi="仿宋" w:eastAsia="仿宋"/>
          <w:sz w:val="32"/>
          <w:szCs w:val="32"/>
        </w:rPr>
        <w:t>技术标准、</w:t>
      </w:r>
      <w:r>
        <w:rPr>
          <w:rFonts w:ascii="仿宋" w:hAnsi="仿宋" w:eastAsia="仿宋"/>
          <w:sz w:val="32"/>
          <w:szCs w:val="32"/>
        </w:rPr>
        <w:t>精度等是否满足标书、合同及采购要求和使用需求。根据检测结果、验收标准进行综合判定，最后填写验收单。</w:t>
      </w:r>
    </w:p>
    <w:p>
      <w:pPr>
        <w:pStyle w:val="3"/>
        <w:spacing w:before="100" w:beforeAutospacing="1" w:after="100" w:afterAutospacing="1"/>
        <w:jc w:val="center"/>
        <w:rPr>
          <w:b w:val="0"/>
          <w:bCs/>
        </w:rPr>
      </w:pPr>
      <w:bookmarkStart w:id="14" w:name="_Toc85616176"/>
      <w:r>
        <w:rPr>
          <w:b w:val="0"/>
          <w:bCs/>
        </w:rPr>
        <w:t>第三章</w:t>
      </w:r>
      <w:r>
        <w:rPr>
          <w:rFonts w:hint="eastAsia"/>
          <w:b w:val="0"/>
          <w:bCs/>
        </w:rPr>
        <w:t xml:space="preserve">  </w:t>
      </w:r>
      <w:r>
        <w:rPr>
          <w:b w:val="0"/>
          <w:bCs/>
        </w:rPr>
        <w:t>验收结果和异常处理</w:t>
      </w:r>
      <w:bookmarkEnd w:id="14"/>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第六条 供应商提供的仪器设备、家具与采购合同要求不相符时应做以下处理：</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（一）仪器设备、家具数量或配件缺少、技术资料不齐全时，使用单位应做好记录，如有破损应对其进行拍照存档，并由供应商签字确认，确定补充供货时间。同时报告资产管理处，共同做好后续工作。</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二）仪器设备、家具的名称、型号规格与采购合同要求不符时，如是供应商原因，使用单位应予拒收，并要求供应商按合同约定提供符合要求的仪器设备、家具；若使用单位确有特殊原因，要求供应商变更供货内容的，需提供书面情况说明等材料，经原审批领导同意后方可变更，相关材料由资产管理处存档。</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三）仪器设备达不到技术指标要求的，使用单位应及时要求供应商进行调试。再次调试后，技术指标仍达不到要求的，应予退货。对于不影响使用并决定不退货的，资产管理处应就补偿形式、金额及其他有关事宜与供应商进行商榷后，上报给主管校长</w:t>
      </w:r>
      <w:r>
        <w:rPr>
          <w:rFonts w:hint="eastAsia" w:ascii="仿宋" w:hAnsi="仿宋" w:eastAsia="仿宋"/>
          <w:sz w:val="32"/>
          <w:szCs w:val="32"/>
        </w:rPr>
        <w:t>审定</w:t>
      </w:r>
      <w:r>
        <w:rPr>
          <w:rFonts w:ascii="仿宋" w:hAnsi="仿宋" w:eastAsia="仿宋"/>
          <w:sz w:val="32"/>
          <w:szCs w:val="32"/>
        </w:rPr>
        <w:t>。</w:t>
      </w:r>
    </w:p>
    <w:p>
      <w:pPr>
        <w:pStyle w:val="3"/>
        <w:spacing w:before="100" w:beforeAutospacing="1" w:after="100" w:afterAutospacing="1"/>
        <w:jc w:val="center"/>
        <w:rPr>
          <w:b w:val="0"/>
          <w:bCs/>
        </w:rPr>
      </w:pPr>
      <w:bookmarkStart w:id="15" w:name="_Toc85616177"/>
      <w:r>
        <w:rPr>
          <w:b w:val="0"/>
          <w:bCs/>
        </w:rPr>
        <w:t>第四章</w:t>
      </w:r>
      <w:r>
        <w:rPr>
          <w:rFonts w:hint="eastAsia"/>
          <w:b w:val="0"/>
          <w:bCs/>
        </w:rPr>
        <w:t xml:space="preserve">  </w:t>
      </w:r>
      <w:r>
        <w:rPr>
          <w:b w:val="0"/>
          <w:bCs/>
        </w:rPr>
        <w:t>附 则</w:t>
      </w:r>
      <w:bookmarkEnd w:id="15"/>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第七条 本办法由资产管理处负责解释。</w:t>
      </w:r>
    </w:p>
    <w:p>
      <w:pPr>
        <w:snapToGrid w:val="0"/>
        <w:spacing w:after="100" w:line="560" w:lineRule="exact"/>
        <w:ind w:firstLine="640" w:firstLineChars="200"/>
        <w:jc w:val="left"/>
        <w:rPr>
          <w:rFonts w:ascii="仿宋" w:hAnsi="仿宋" w:eastAsia="仿宋"/>
          <w:sz w:val="32"/>
          <w:szCs w:val="32"/>
        </w:rPr>
      </w:pPr>
      <w:r>
        <w:rPr>
          <w:rFonts w:ascii="仿宋" w:hAnsi="仿宋" w:eastAsia="仿宋"/>
          <w:sz w:val="32"/>
          <w:szCs w:val="32"/>
        </w:rPr>
        <w:t>第八条 本办法自发布之日起施行，原管理办法同时废止。</w:t>
      </w:r>
    </w:p>
    <w:p>
      <w:pPr>
        <w:snapToGrid w:val="0"/>
        <w:spacing w:after="100" w:line="560" w:lineRule="exact"/>
        <w:ind w:firstLine="640" w:firstLineChars="200"/>
        <w:jc w:val="left"/>
        <w:rPr>
          <w:rFonts w:ascii="仿宋" w:hAnsi="仿宋" w:eastAsia="仿宋"/>
          <w:sz w:val="32"/>
          <w:szCs w:val="32"/>
        </w:rPr>
        <w:sectPr>
          <w:type w:val="continuous"/>
          <w:pgSz w:w="11906" w:h="16838"/>
          <w:pgMar w:top="2098" w:right="1474" w:bottom="1985" w:left="1588" w:header="851" w:footer="992" w:gutter="0"/>
          <w:cols w:space="425" w:num="1"/>
          <w:docGrid w:type="lines" w:linePitch="312" w:charSpace="0"/>
        </w:sectPr>
      </w:pPr>
      <w:r>
        <w:rPr>
          <w:rFonts w:hint="eastAsia" w:ascii="仿宋" w:hAnsi="仿宋" w:eastAsia="仿宋"/>
          <w:sz w:val="32"/>
          <w:szCs w:val="32"/>
        </w:rPr>
        <w:t>附件二：物资验收流程图</w:t>
      </w:r>
    </w:p>
    <w:p>
      <w:pPr>
        <w:pStyle w:val="2"/>
        <w:snapToGrid w:val="0"/>
        <w:ind w:left="420" w:leftChars="200" w:right="420" w:rightChars="200"/>
        <w:jc w:val="center"/>
        <w:rPr>
          <w:rFonts w:ascii="方正小标宋简体" w:hAnsi="仿宋" w:eastAsia="方正小标宋简体"/>
          <w:b w:val="0"/>
          <w:color w:val="auto"/>
          <w:sz w:val="44"/>
          <w:szCs w:val="44"/>
        </w:rPr>
      </w:pPr>
      <w:bookmarkStart w:id="16" w:name="_Toc85616710"/>
      <w:r>
        <w:rPr>
          <w:rFonts w:ascii="方正小标宋简体" w:hAnsi="仿宋" w:eastAsia="方正小标宋简体"/>
          <w:b w:val="0"/>
          <w:color w:val="auto"/>
          <w:sz w:val="44"/>
          <w:szCs w:val="44"/>
        </w:rPr>
        <w:fldChar w:fldCharType="begin"/>
      </w:r>
      <w:r>
        <w:rPr>
          <w:rFonts w:ascii="方正小标宋简体" w:hAnsi="仿宋" w:eastAsia="方正小标宋简体"/>
          <w:b w:val="0"/>
          <w:color w:val="auto"/>
          <w:sz w:val="44"/>
          <w:szCs w:val="44"/>
        </w:rPr>
        <w:instrText xml:space="preserve"> HYPERLINK  \l "_目__" </w:instrText>
      </w:r>
      <w:r>
        <w:rPr>
          <w:rFonts w:ascii="方正小标宋简体" w:hAnsi="仿宋" w:eastAsia="方正小标宋简体"/>
          <w:b w:val="0"/>
          <w:color w:val="auto"/>
          <w:sz w:val="44"/>
          <w:szCs w:val="44"/>
        </w:rPr>
        <w:fldChar w:fldCharType="separate"/>
      </w:r>
      <w:r>
        <w:rPr>
          <w:rStyle w:val="16"/>
          <w:rFonts w:hint="eastAsia" w:ascii="方正小标宋简体" w:hAnsi="仿宋" w:eastAsia="方正小标宋简体"/>
          <w:b w:val="0"/>
          <w:color w:val="auto"/>
          <w:sz w:val="44"/>
          <w:szCs w:val="44"/>
          <w:u w:val="none"/>
        </w:rPr>
        <w:t>长春大学旅游学院仪器设备、家具维修管理暂行办法</w:t>
      </w:r>
      <w:bookmarkEnd w:id="16"/>
      <w:r>
        <w:rPr>
          <w:rFonts w:ascii="方正小标宋简体" w:hAnsi="仿宋" w:eastAsia="方正小标宋简体"/>
          <w:b w:val="0"/>
          <w:color w:val="auto"/>
          <w:sz w:val="44"/>
          <w:szCs w:val="44"/>
        </w:rPr>
        <w:fldChar w:fldCharType="end"/>
      </w:r>
    </w:p>
    <w:p>
      <w:pPr>
        <w:pStyle w:val="3"/>
        <w:spacing w:afterLines="50"/>
        <w:jc w:val="center"/>
        <w:rPr>
          <w:rFonts w:ascii="黑体" w:hAnsi="黑体"/>
          <w:b w:val="0"/>
          <w:szCs w:val="32"/>
        </w:rPr>
      </w:pPr>
      <w:bookmarkStart w:id="17" w:name="_Toc85616179"/>
      <w:r>
        <w:rPr>
          <w:b w:val="0"/>
        </w:rPr>
        <w:t>第一章</w:t>
      </w:r>
      <w:r>
        <w:rPr>
          <w:rFonts w:hint="eastAsia"/>
          <w:b w:val="0"/>
        </w:rPr>
        <w:t xml:space="preserve">  </w:t>
      </w:r>
      <w:r>
        <w:rPr>
          <w:b w:val="0"/>
        </w:rPr>
        <w:t>总 则</w:t>
      </w:r>
      <w:bookmarkEnd w:id="17"/>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第一条 为加强全校仪器设备、家</w:t>
      </w:r>
      <w:r>
        <w:rPr>
          <w:rFonts w:hint="eastAsia" w:ascii="仿宋" w:hAnsi="仿宋" w:eastAsia="仿宋"/>
          <w:bCs/>
          <w:sz w:val="32"/>
          <w:szCs w:val="32"/>
        </w:rPr>
        <w:t>具</w:t>
      </w:r>
      <w:r>
        <w:rPr>
          <w:rFonts w:ascii="仿宋" w:hAnsi="仿宋" w:eastAsia="仿宋"/>
          <w:bCs/>
          <w:sz w:val="32"/>
          <w:szCs w:val="32"/>
        </w:rPr>
        <w:t>的维修管理工作，保证教学、科研和行政办公正常运行，特制定此办法。</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第二条 资产管理处是仪器设备、家</w:t>
      </w:r>
      <w:r>
        <w:rPr>
          <w:rFonts w:hint="eastAsia" w:ascii="仿宋" w:hAnsi="仿宋" w:eastAsia="仿宋"/>
          <w:bCs/>
          <w:sz w:val="32"/>
          <w:szCs w:val="32"/>
        </w:rPr>
        <w:t>具</w:t>
      </w:r>
      <w:r>
        <w:rPr>
          <w:rFonts w:ascii="仿宋" w:hAnsi="仿宋" w:eastAsia="仿宋"/>
          <w:bCs/>
          <w:sz w:val="32"/>
          <w:szCs w:val="32"/>
        </w:rPr>
        <w:t>维修工作的业务主管部门，会同学校其他相关部门做好仪器设备的维修工作。维修工作要从实际出发，牢固树立服务意识，贯彻勤俭节约的方针，努力提高维修工作效率。</w:t>
      </w:r>
    </w:p>
    <w:p>
      <w:pPr>
        <w:pStyle w:val="3"/>
        <w:spacing w:afterLines="50"/>
        <w:jc w:val="center"/>
        <w:rPr>
          <w:b w:val="0"/>
        </w:rPr>
      </w:pPr>
      <w:bookmarkStart w:id="18" w:name="_Toc85616180"/>
      <w:r>
        <w:rPr>
          <w:b w:val="0"/>
        </w:rPr>
        <w:t>第二章</w:t>
      </w:r>
      <w:r>
        <w:rPr>
          <w:rFonts w:hint="eastAsia"/>
          <w:b w:val="0"/>
        </w:rPr>
        <w:t xml:space="preserve">  </w:t>
      </w:r>
      <w:r>
        <w:rPr>
          <w:b w:val="0"/>
        </w:rPr>
        <w:t>维修工作范围</w:t>
      </w:r>
      <w:bookmarkEnd w:id="18"/>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第三条 凡属教学、科研、行政办公使用并超过供应商保修范围而损坏的仪器设备、家</w:t>
      </w:r>
      <w:r>
        <w:rPr>
          <w:rFonts w:hint="eastAsia" w:ascii="仿宋" w:hAnsi="仿宋" w:eastAsia="仿宋"/>
          <w:bCs/>
          <w:sz w:val="32"/>
          <w:szCs w:val="32"/>
        </w:rPr>
        <w:t>具</w:t>
      </w:r>
      <w:r>
        <w:rPr>
          <w:rFonts w:ascii="仿宋" w:hAnsi="仿宋" w:eastAsia="仿宋"/>
          <w:bCs/>
          <w:sz w:val="32"/>
          <w:szCs w:val="32"/>
        </w:rPr>
        <w:t>都可以申请维修。</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第四条 在保修期以内出现故障的仪器设备需要维修的，不得擅自拆封修理，使用单位应通过资产管理处和后勤服务中心与厂方联系保修事宜，以便能及时办理退、赔、换等保修手续。</w:t>
      </w:r>
    </w:p>
    <w:p>
      <w:pPr>
        <w:pStyle w:val="3"/>
        <w:spacing w:afterLines="50"/>
        <w:jc w:val="center"/>
        <w:rPr>
          <w:b w:val="0"/>
        </w:rPr>
      </w:pPr>
      <w:bookmarkStart w:id="19" w:name="_Toc85616181"/>
      <w:r>
        <w:rPr>
          <w:b w:val="0"/>
        </w:rPr>
        <w:t>第三章</w:t>
      </w:r>
      <w:r>
        <w:rPr>
          <w:rFonts w:hint="eastAsia"/>
          <w:b w:val="0"/>
        </w:rPr>
        <w:t xml:space="preserve">  </w:t>
      </w:r>
      <w:r>
        <w:rPr>
          <w:b w:val="0"/>
        </w:rPr>
        <w:t>维修工作流程</w:t>
      </w:r>
      <w:bookmarkEnd w:id="19"/>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第五条</w:t>
      </w:r>
      <w:r>
        <w:rPr>
          <w:rFonts w:hint="eastAsia" w:ascii="仿宋" w:hAnsi="仿宋" w:eastAsia="仿宋"/>
          <w:bCs/>
          <w:sz w:val="32"/>
          <w:szCs w:val="32"/>
        </w:rPr>
        <w:t>在保修期内的仪器、设备、家具由供货单位负责维修。</w:t>
      </w:r>
      <w:r>
        <w:rPr>
          <w:rFonts w:ascii="仿宋" w:hAnsi="仿宋" w:eastAsia="仿宋"/>
          <w:bCs/>
          <w:sz w:val="32"/>
          <w:szCs w:val="32"/>
        </w:rPr>
        <w:t>在保修期外的仪器设备、家</w:t>
      </w:r>
      <w:r>
        <w:rPr>
          <w:rFonts w:hint="eastAsia" w:ascii="仿宋" w:hAnsi="仿宋" w:eastAsia="仿宋"/>
          <w:bCs/>
          <w:sz w:val="32"/>
          <w:szCs w:val="32"/>
        </w:rPr>
        <w:t>具</w:t>
      </w:r>
      <w:r>
        <w:rPr>
          <w:rFonts w:ascii="仿宋" w:hAnsi="仿宋" w:eastAsia="仿宋"/>
          <w:bCs/>
          <w:sz w:val="32"/>
          <w:szCs w:val="32"/>
        </w:rPr>
        <w:t>维修程序：</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 xml:space="preserve">（一）申报 </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仪器设备、家</w:t>
      </w:r>
      <w:r>
        <w:rPr>
          <w:rFonts w:hint="eastAsia" w:ascii="仿宋" w:hAnsi="仿宋" w:eastAsia="仿宋"/>
          <w:bCs/>
          <w:sz w:val="32"/>
          <w:szCs w:val="32"/>
        </w:rPr>
        <w:t>具</w:t>
      </w:r>
      <w:r>
        <w:rPr>
          <w:rFonts w:ascii="仿宋" w:hAnsi="仿宋" w:eastAsia="仿宋"/>
          <w:bCs/>
          <w:sz w:val="32"/>
          <w:szCs w:val="32"/>
        </w:rPr>
        <w:t>使用人向资产管理处提出登记申请，填写《长春大学旅游学院仪器设备、家</w:t>
      </w:r>
      <w:r>
        <w:rPr>
          <w:rFonts w:hint="eastAsia" w:ascii="仿宋" w:hAnsi="仿宋" w:eastAsia="仿宋"/>
          <w:bCs/>
          <w:sz w:val="32"/>
          <w:szCs w:val="32"/>
        </w:rPr>
        <w:t>具</w:t>
      </w:r>
      <w:r>
        <w:rPr>
          <w:rFonts w:ascii="仿宋" w:hAnsi="仿宋" w:eastAsia="仿宋"/>
          <w:bCs/>
          <w:sz w:val="32"/>
          <w:szCs w:val="32"/>
        </w:rPr>
        <w:t>维修登记表》，报送资产管理处。</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 xml:space="preserve">（二）鉴定 </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资产管理处组织有关技术人员到现场对有故障仪器设备、家</w:t>
      </w:r>
      <w:r>
        <w:rPr>
          <w:rFonts w:hint="eastAsia" w:ascii="仿宋" w:hAnsi="仿宋" w:eastAsia="仿宋"/>
          <w:bCs/>
          <w:sz w:val="32"/>
          <w:szCs w:val="32"/>
        </w:rPr>
        <w:t>具进行</w:t>
      </w:r>
      <w:r>
        <w:rPr>
          <w:rFonts w:ascii="仿宋" w:hAnsi="仿宋" w:eastAsia="仿宋"/>
          <w:bCs/>
          <w:sz w:val="32"/>
          <w:szCs w:val="32"/>
        </w:rPr>
        <w:t>鉴定，确定维修项目。</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（三）审批</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做出维修预算，使用部门提交相关项目的申购单或申请书。</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（四）维修</w:t>
      </w:r>
      <w:r>
        <w:rPr>
          <w:rFonts w:hint="eastAsia" w:ascii="仿宋" w:hAnsi="仿宋" w:eastAsia="仿宋"/>
          <w:bCs/>
          <w:sz w:val="32"/>
          <w:szCs w:val="32"/>
        </w:rPr>
        <w:t> </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 xml:space="preserve">审核通过后，资产管理处组织维修人员对设备进行维修。 </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 xml:space="preserve">（五）验收 </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完成维修后，由设备使用单位等相关人员对维修好的仪器设备进行验收，验收合格后，使用单位管理人员填写相应验收单。</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第六条 经技术鉴定认为维修费用过高或因其他原因（如因技术落后现已淘汰、无法修复、坏损特别严重等）认定无修复价值的仪器设备不予维修。</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第七条 因操作人员违反操作规程而损坏的仪器设备，首先按《长春大学旅游学院仪器设备和物资器材损坏、丢失赔偿管理办法》处理后再安排维修。</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第八条 维修合格后，维修单位应提供购买材料及维修手工费的正规发票，换下的旧元器件由资产管理处统一处理。</w:t>
      </w:r>
    </w:p>
    <w:p>
      <w:pPr>
        <w:snapToGrid w:val="0"/>
        <w:spacing w:line="560" w:lineRule="exact"/>
        <w:ind w:firstLine="646" w:firstLineChars="202"/>
        <w:jc w:val="left"/>
        <w:rPr>
          <w:rFonts w:ascii="仿宋" w:hAnsi="仿宋" w:eastAsia="仿宋"/>
          <w:bCs/>
          <w:sz w:val="32"/>
          <w:szCs w:val="32"/>
        </w:rPr>
      </w:pPr>
      <w:r>
        <w:rPr>
          <w:rFonts w:ascii="仿宋" w:hAnsi="仿宋" w:eastAsia="仿宋"/>
          <w:bCs/>
          <w:sz w:val="32"/>
          <w:szCs w:val="32"/>
        </w:rPr>
        <w:t>第九条 维修完成后，资产管理处应将《长春大学旅游学院仪器设备维修申请单》原件存档。</w:t>
      </w:r>
    </w:p>
    <w:p>
      <w:pPr>
        <w:pStyle w:val="3"/>
        <w:spacing w:before="100" w:beforeAutospacing="1" w:after="100" w:afterAutospacing="1"/>
        <w:jc w:val="center"/>
        <w:rPr>
          <w:b w:val="0"/>
          <w:bCs/>
        </w:rPr>
      </w:pPr>
      <w:bookmarkStart w:id="20" w:name="_Toc85616182"/>
      <w:r>
        <w:rPr>
          <w:b w:val="0"/>
          <w:bCs/>
        </w:rPr>
        <w:t>第四章</w:t>
      </w:r>
      <w:r>
        <w:rPr>
          <w:rFonts w:hint="eastAsia"/>
          <w:b w:val="0"/>
          <w:bCs/>
        </w:rPr>
        <w:t xml:space="preserve">  </w:t>
      </w:r>
      <w:r>
        <w:rPr>
          <w:b w:val="0"/>
          <w:bCs/>
        </w:rPr>
        <w:t>附 则</w:t>
      </w:r>
      <w:bookmarkEnd w:id="20"/>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第十条</w:t>
      </w:r>
      <w:r>
        <w:rPr>
          <w:rFonts w:ascii="仿宋" w:hAnsi="仿宋" w:eastAsia="仿宋"/>
          <w:sz w:val="32"/>
          <w:szCs w:val="32"/>
        </w:rPr>
        <w:t xml:space="preserve"> 本办法由资产管理处负责解释。</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第十一条</w:t>
      </w:r>
      <w:r>
        <w:rPr>
          <w:rFonts w:ascii="仿宋" w:hAnsi="仿宋" w:eastAsia="仿宋"/>
          <w:sz w:val="32"/>
          <w:szCs w:val="32"/>
        </w:rPr>
        <w:t xml:space="preserve"> 本办法自发布之日起施行，原管理办法同时废止。</w:t>
      </w: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widowControl/>
        <w:jc w:val="left"/>
        <w:rPr>
          <w:rFonts w:ascii="方正小标宋简体" w:hAnsi="方正小标宋简体" w:eastAsia="方正小标宋简体" w:cs="方正小标宋简体"/>
          <w:kern w:val="44"/>
          <w:sz w:val="44"/>
          <w:szCs w:val="44"/>
        </w:rPr>
      </w:pPr>
      <w:r>
        <w:rPr>
          <w:rFonts w:ascii="方正小标宋简体" w:hAnsi="方正小标宋简体" w:eastAsia="方正小标宋简体" w:cs="方正小标宋简体"/>
          <w:b/>
          <w:bCs/>
          <w:sz w:val="44"/>
          <w:szCs w:val="44"/>
        </w:rPr>
        <w:br w:type="page"/>
      </w:r>
    </w:p>
    <w:p>
      <w:pPr>
        <w:pStyle w:val="2"/>
        <w:ind w:left="420" w:leftChars="200" w:right="420" w:rightChars="200"/>
        <w:jc w:val="center"/>
        <w:rPr>
          <w:rFonts w:ascii="方正小标宋简体" w:hAnsi="方正小标宋简体" w:eastAsia="方正小标宋简体" w:cs="方正小标宋简体"/>
          <w:b w:val="0"/>
          <w:bCs w:val="0"/>
          <w:color w:val="auto"/>
          <w:sz w:val="44"/>
          <w:szCs w:val="44"/>
        </w:rPr>
      </w:pPr>
      <w:bookmarkStart w:id="21" w:name="_Toc85616711"/>
      <w:r>
        <w:rPr>
          <w:rFonts w:ascii="方正小标宋简体" w:hAnsi="方正小标宋简体" w:eastAsia="方正小标宋简体" w:cs="方正小标宋简体"/>
          <w:b w:val="0"/>
          <w:bCs w:val="0"/>
          <w:color w:val="auto"/>
          <w:sz w:val="44"/>
          <w:szCs w:val="44"/>
        </w:rPr>
        <w:fldChar w:fldCharType="begin"/>
      </w:r>
      <w:r>
        <w:rPr>
          <w:rFonts w:ascii="方正小标宋简体" w:hAnsi="方正小标宋简体" w:eastAsia="方正小标宋简体" w:cs="方正小标宋简体"/>
          <w:b w:val="0"/>
          <w:bCs w:val="0"/>
          <w:color w:val="auto"/>
          <w:sz w:val="44"/>
          <w:szCs w:val="44"/>
        </w:rPr>
        <w:instrText xml:space="preserve"> HYPERLINK  \l "_目__" </w:instrText>
      </w:r>
      <w:r>
        <w:rPr>
          <w:rFonts w:ascii="方正小标宋简体" w:hAnsi="方正小标宋简体" w:eastAsia="方正小标宋简体" w:cs="方正小标宋简体"/>
          <w:b w:val="0"/>
          <w:bCs w:val="0"/>
          <w:color w:val="auto"/>
          <w:sz w:val="44"/>
          <w:szCs w:val="44"/>
        </w:rPr>
        <w:fldChar w:fldCharType="separate"/>
      </w:r>
      <w:r>
        <w:rPr>
          <w:rStyle w:val="16"/>
          <w:rFonts w:hint="eastAsia" w:ascii="方正小标宋简体" w:hAnsi="方正小标宋简体" w:eastAsia="方正小标宋简体" w:cs="方正小标宋简体"/>
          <w:b w:val="0"/>
          <w:bCs w:val="0"/>
          <w:color w:val="auto"/>
          <w:sz w:val="44"/>
          <w:szCs w:val="44"/>
          <w:u w:val="none"/>
        </w:rPr>
        <w:t>长春大学旅游学院仪器设备、家具处置管理暂行办法</w:t>
      </w:r>
      <w:bookmarkEnd w:id="21"/>
      <w:r>
        <w:rPr>
          <w:rFonts w:ascii="方正小标宋简体" w:hAnsi="方正小标宋简体" w:eastAsia="方正小标宋简体" w:cs="方正小标宋简体"/>
          <w:b w:val="0"/>
          <w:bCs w:val="0"/>
          <w:color w:val="auto"/>
          <w:sz w:val="44"/>
          <w:szCs w:val="44"/>
        </w:rPr>
        <w:fldChar w:fldCharType="end"/>
      </w:r>
    </w:p>
    <w:p>
      <w:pPr>
        <w:pStyle w:val="3"/>
        <w:spacing w:before="100" w:beforeAutospacing="1" w:after="100" w:afterAutospacing="1"/>
        <w:jc w:val="center"/>
        <w:rPr>
          <w:b w:val="0"/>
          <w:bCs/>
        </w:rPr>
      </w:pPr>
      <w:bookmarkStart w:id="22" w:name="_Toc85616184"/>
      <w:r>
        <w:rPr>
          <w:b w:val="0"/>
          <w:bCs/>
        </w:rPr>
        <w:t>第一章</w:t>
      </w:r>
      <w:r>
        <w:rPr>
          <w:rFonts w:hint="eastAsia"/>
          <w:b w:val="0"/>
          <w:bCs/>
        </w:rPr>
        <w:t xml:space="preserve">  </w:t>
      </w:r>
      <w:r>
        <w:rPr>
          <w:b w:val="0"/>
          <w:bCs/>
        </w:rPr>
        <w:t>总 则</w:t>
      </w:r>
      <w:bookmarkEnd w:id="22"/>
    </w:p>
    <w:p>
      <w:pPr>
        <w:snapToGrid w:val="0"/>
        <w:spacing w:after="120" w:line="312" w:lineRule="auto"/>
        <w:ind w:firstLine="627" w:firstLineChars="196"/>
        <w:jc w:val="left"/>
        <w:rPr>
          <w:rFonts w:ascii="仿宋" w:hAnsi="仿宋" w:eastAsia="仿宋"/>
          <w:sz w:val="32"/>
          <w:szCs w:val="32"/>
        </w:rPr>
      </w:pPr>
      <w:r>
        <w:rPr>
          <w:rFonts w:ascii="仿宋" w:hAnsi="仿宋" w:eastAsia="仿宋"/>
          <w:bCs/>
          <w:sz w:val="32"/>
          <w:szCs w:val="32"/>
        </w:rPr>
        <w:t>第一条</w:t>
      </w:r>
      <w:r>
        <w:rPr>
          <w:rFonts w:ascii="仿宋" w:hAnsi="仿宋" w:eastAsia="仿宋"/>
          <w:sz w:val="32"/>
          <w:szCs w:val="32"/>
        </w:rPr>
        <w:t xml:space="preserve"> 为加强我校仪器设备、家具的报损、报废、回收及处置的管理工作，更好地为教学、科研和行政办公服务，参照《政府会计</w:t>
      </w:r>
      <w:r>
        <w:rPr>
          <w:rFonts w:hint="eastAsia" w:ascii="仿宋" w:hAnsi="仿宋" w:eastAsia="仿宋"/>
          <w:sz w:val="32"/>
          <w:szCs w:val="32"/>
        </w:rPr>
        <w:t>准则</w:t>
      </w:r>
      <w:r>
        <w:rPr>
          <w:rFonts w:ascii="仿宋" w:hAnsi="仿宋" w:eastAsia="仿宋"/>
          <w:sz w:val="32"/>
          <w:szCs w:val="32"/>
        </w:rPr>
        <w:t>制度》《吉林省教育厅所属事业单位国有资产处置管理实施细则》（试行）和《长春大学旅游学院固定资产管理暂行办法》，特制定本办法。</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第二条</w:t>
      </w:r>
      <w:r>
        <w:rPr>
          <w:rFonts w:ascii="仿宋" w:hAnsi="仿宋" w:eastAsia="仿宋"/>
          <w:sz w:val="32"/>
          <w:szCs w:val="32"/>
        </w:rPr>
        <w:t xml:space="preserve"> 学校仪器设备、家具报废处置应严格遵循有关法律法规，按照公开、公平、公正的原则，明确处置权限，严格审批手续，防止和杜绝资产的浪费与流失。</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第三条</w:t>
      </w:r>
      <w:r>
        <w:rPr>
          <w:rFonts w:ascii="仿宋" w:hAnsi="仿宋" w:eastAsia="仿宋"/>
          <w:sz w:val="32"/>
          <w:szCs w:val="32"/>
        </w:rPr>
        <w:t xml:space="preserve"> 资产管理处是学校仪器设备、家具处置工作的统管部门，其他任何部门不得擅自对本部门使用的仪器设备、家具进行处置。</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第四条</w:t>
      </w:r>
      <w:r>
        <w:rPr>
          <w:rFonts w:ascii="仿宋" w:hAnsi="仿宋" w:eastAsia="仿宋"/>
          <w:sz w:val="32"/>
          <w:szCs w:val="32"/>
        </w:rPr>
        <w:t xml:space="preserve"> 仪器设备报损、报废范围</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凡符合下列情况之一者，使用单位可申请报废:</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（一）经过科学论证，因技术原因确需报废、淘汰的设备；</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（二）使用期满或已经超过使用期，主要部件已经损坏不能达到最低使用要求，且无法修复的仪器设备；</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（三）由于意外灾害或突发事故，受到严重破坏不能修复的仪器设备；</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（四）主要部件遗失，无法使用，又不能修复的仪器设备；</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 xml:space="preserve">（五）修复的费用超过或接近新购价值的仪器设备； </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（六）使用或运行时对人体安全与健康没有保障的仪器设备；</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（七）依照国家有关规定需要进行仪器设备处置的其他情形。</w:t>
      </w:r>
    </w:p>
    <w:p>
      <w:pPr>
        <w:pStyle w:val="3"/>
        <w:spacing w:before="100" w:beforeAutospacing="1" w:after="100" w:afterAutospacing="1"/>
        <w:jc w:val="center"/>
        <w:rPr>
          <w:b w:val="0"/>
          <w:bCs/>
        </w:rPr>
      </w:pPr>
      <w:bookmarkStart w:id="23" w:name="_Toc85616185"/>
      <w:r>
        <w:rPr>
          <w:b w:val="0"/>
          <w:bCs/>
        </w:rPr>
        <w:t>第</w:t>
      </w:r>
      <w:r>
        <w:rPr>
          <w:rFonts w:hint="eastAsia"/>
          <w:b w:val="0"/>
          <w:bCs/>
        </w:rPr>
        <w:t>二</w:t>
      </w:r>
      <w:r>
        <w:rPr>
          <w:b w:val="0"/>
          <w:bCs/>
        </w:rPr>
        <w:t>章</w:t>
      </w:r>
      <w:r>
        <w:rPr>
          <w:rFonts w:hint="eastAsia"/>
          <w:b w:val="0"/>
          <w:bCs/>
        </w:rPr>
        <w:t xml:space="preserve">  报废</w:t>
      </w:r>
      <w:r>
        <w:rPr>
          <w:b w:val="0"/>
          <w:bCs/>
        </w:rPr>
        <w:t>及处置程序</w:t>
      </w:r>
      <w:bookmarkEnd w:id="23"/>
    </w:p>
    <w:p>
      <w:pPr>
        <w:widowControl/>
        <w:ind w:firstLine="640" w:firstLineChars="200"/>
        <w:jc w:val="left"/>
        <w:rPr>
          <w:rFonts w:ascii="仿宋" w:hAnsi="仿宋" w:eastAsia="仿宋"/>
          <w:sz w:val="32"/>
          <w:szCs w:val="32"/>
        </w:rPr>
      </w:pPr>
      <w:r>
        <w:rPr>
          <w:rFonts w:ascii="仿宋" w:hAnsi="仿宋" w:eastAsia="仿宋"/>
          <w:sz w:val="32"/>
          <w:szCs w:val="32"/>
        </w:rPr>
        <w:t>第五条 仪器设备、家具报损、报废程序</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一）凡需报损、报废的仪器设备、家具必须填报《长春大学旅游学院固定资产调拨单》，申报部门签署意见后报送资产管理处，由资产管理处组织学校相关部门负责人、技术人员和管理人员组成鉴定小组（必要时可请校外专家参加）对待报损、报废仪器设备进行鉴定，提出处理意见，按规定办理审批手续；</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（二）参加鉴定的人员必须本着实事求是、充分利用的原则，对报废的仪器设备进行认真负责的鉴定并签署意见；</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第六条</w:t>
      </w:r>
      <w:r>
        <w:rPr>
          <w:rFonts w:ascii="仿宋" w:hAnsi="仿宋" w:eastAsia="仿宋"/>
          <w:sz w:val="32"/>
          <w:szCs w:val="32"/>
        </w:rPr>
        <w:t xml:space="preserve"> 学校的各类仪器设备、家具（含待报废）均为学校自有资产，任何单位和个人均不得擅自转让、转卖和处理。</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第七条</w:t>
      </w:r>
      <w:r>
        <w:rPr>
          <w:rFonts w:ascii="仿宋" w:hAnsi="仿宋" w:eastAsia="仿宋"/>
          <w:sz w:val="32"/>
          <w:szCs w:val="32"/>
        </w:rPr>
        <w:t xml:space="preserve"> 对已报损、报废的仪器设备、家具，要保证其完整性（包括配套设备、技术资料）。如因工作需要，要利用其部分元器件或整台设备，须报请资产管理处批准后，方可拆装或留用，未经同意不得自行拆卸。</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第八条</w:t>
      </w:r>
      <w:r>
        <w:rPr>
          <w:rFonts w:ascii="仿宋" w:hAnsi="仿宋" w:eastAsia="仿宋"/>
          <w:sz w:val="32"/>
          <w:szCs w:val="32"/>
        </w:rPr>
        <w:t xml:space="preserve"> 资产管理处负责对报废物资进行查实登记和回收工作，任何人员未经批准不得私自将报废仪器设备拆散或私自处理。</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第九条</w:t>
      </w:r>
      <w:r>
        <w:rPr>
          <w:rFonts w:ascii="仿宋" w:hAnsi="仿宋" w:eastAsia="仿宋"/>
          <w:sz w:val="32"/>
          <w:szCs w:val="32"/>
        </w:rPr>
        <w:t xml:space="preserve"> 已报损、报废的仪器设备、家</w:t>
      </w:r>
      <w:r>
        <w:rPr>
          <w:rFonts w:hint="eastAsia" w:ascii="仿宋" w:hAnsi="仿宋" w:eastAsia="仿宋"/>
          <w:sz w:val="32"/>
          <w:szCs w:val="32"/>
        </w:rPr>
        <w:t>俱</w:t>
      </w:r>
      <w:r>
        <w:rPr>
          <w:rFonts w:ascii="仿宋" w:hAnsi="仿宋" w:eastAsia="仿宋"/>
          <w:sz w:val="32"/>
          <w:szCs w:val="32"/>
        </w:rPr>
        <w:t>，其有利用价值的部分，由资产管理处负责协调学校</w:t>
      </w:r>
      <w:r>
        <w:rPr>
          <w:rFonts w:hint="eastAsia" w:ascii="仿宋" w:hAnsi="仿宋" w:eastAsia="仿宋"/>
          <w:sz w:val="32"/>
          <w:szCs w:val="32"/>
        </w:rPr>
        <w:t>有关</w:t>
      </w:r>
      <w:r>
        <w:rPr>
          <w:rFonts w:ascii="仿宋" w:hAnsi="仿宋" w:eastAsia="仿宋"/>
          <w:sz w:val="32"/>
          <w:szCs w:val="32"/>
        </w:rPr>
        <w:t>部门充分利用。学校</w:t>
      </w:r>
      <w:r>
        <w:rPr>
          <w:rFonts w:hint="eastAsia" w:ascii="仿宋" w:hAnsi="仿宋" w:eastAsia="仿宋"/>
          <w:sz w:val="32"/>
          <w:szCs w:val="32"/>
        </w:rPr>
        <w:t>有关</w:t>
      </w:r>
      <w:r>
        <w:rPr>
          <w:rFonts w:ascii="仿宋" w:hAnsi="仿宋" w:eastAsia="仿宋"/>
          <w:sz w:val="32"/>
          <w:szCs w:val="32"/>
        </w:rPr>
        <w:t>部门</w:t>
      </w:r>
      <w:r>
        <w:rPr>
          <w:rFonts w:hint="eastAsia" w:ascii="仿宋" w:hAnsi="仿宋" w:eastAsia="仿宋"/>
          <w:sz w:val="32"/>
          <w:szCs w:val="32"/>
        </w:rPr>
        <w:t>拟</w:t>
      </w:r>
      <w:r>
        <w:rPr>
          <w:rFonts w:ascii="仿宋" w:hAnsi="仿宋" w:eastAsia="仿宋"/>
          <w:sz w:val="32"/>
          <w:szCs w:val="32"/>
        </w:rPr>
        <w:t>利用已报废的仪器设备</w:t>
      </w:r>
      <w:r>
        <w:rPr>
          <w:rFonts w:hint="eastAsia" w:ascii="仿宋" w:hAnsi="仿宋" w:eastAsia="仿宋"/>
          <w:sz w:val="32"/>
          <w:szCs w:val="32"/>
        </w:rPr>
        <w:t>需</w:t>
      </w:r>
      <w:r>
        <w:rPr>
          <w:rFonts w:ascii="仿宋" w:hAnsi="仿宋" w:eastAsia="仿宋"/>
          <w:sz w:val="32"/>
          <w:szCs w:val="32"/>
        </w:rPr>
        <w:t>办理领用手续。</w:t>
      </w:r>
    </w:p>
    <w:p>
      <w:pPr>
        <w:pStyle w:val="3"/>
        <w:spacing w:before="100" w:beforeAutospacing="1" w:after="100" w:afterAutospacing="1"/>
        <w:jc w:val="center"/>
        <w:rPr>
          <w:b w:val="0"/>
          <w:bCs/>
        </w:rPr>
      </w:pPr>
      <w:bookmarkStart w:id="24" w:name="_Toc85616186"/>
      <w:r>
        <w:rPr>
          <w:b w:val="0"/>
          <w:bCs/>
        </w:rPr>
        <w:t>第三章</w:t>
      </w:r>
      <w:r>
        <w:rPr>
          <w:rFonts w:hint="eastAsia"/>
          <w:b w:val="0"/>
          <w:bCs/>
        </w:rPr>
        <w:t xml:space="preserve">  </w:t>
      </w:r>
      <w:r>
        <w:rPr>
          <w:b w:val="0"/>
          <w:bCs/>
        </w:rPr>
        <w:t>附 则</w:t>
      </w:r>
      <w:bookmarkEnd w:id="24"/>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第十条</w:t>
      </w:r>
      <w:r>
        <w:rPr>
          <w:rFonts w:ascii="仿宋" w:hAnsi="仿宋" w:eastAsia="仿宋"/>
          <w:sz w:val="32"/>
          <w:szCs w:val="32"/>
        </w:rPr>
        <w:t xml:space="preserve"> 本办法由资产管理处负责解释。</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第十一条</w:t>
      </w:r>
      <w:r>
        <w:rPr>
          <w:rFonts w:ascii="仿宋" w:hAnsi="仿宋" w:eastAsia="仿宋"/>
          <w:sz w:val="32"/>
          <w:szCs w:val="32"/>
        </w:rPr>
        <w:t xml:space="preserve"> 本办法自发布之日起施行，原管理办法同时废止。</w:t>
      </w:r>
    </w:p>
    <w:p>
      <w:pPr>
        <w:snapToGrid w:val="0"/>
        <w:spacing w:after="120" w:line="312" w:lineRule="auto"/>
        <w:ind w:firstLine="627" w:firstLineChars="196"/>
        <w:jc w:val="left"/>
        <w:rPr>
          <w:rFonts w:ascii="仿宋" w:hAnsi="仿宋" w:eastAsia="仿宋"/>
          <w:sz w:val="32"/>
          <w:szCs w:val="32"/>
        </w:rPr>
      </w:pPr>
      <w:r>
        <w:rPr>
          <w:rFonts w:hint="eastAsia" w:ascii="仿宋" w:hAnsi="仿宋" w:eastAsia="仿宋"/>
          <w:sz w:val="32"/>
          <w:szCs w:val="32"/>
        </w:rPr>
        <w:t>附件三：</w:t>
      </w:r>
      <w:r>
        <w:rPr>
          <w:rFonts w:hint="eastAsia" w:ascii="仿宋" w:hAnsi="仿宋" w:eastAsia="仿宋"/>
          <w:bCs/>
          <w:sz w:val="32"/>
          <w:szCs w:val="32"/>
        </w:rPr>
        <w:t>固定资产报废流程图</w:t>
      </w:r>
    </w:p>
    <w:p>
      <w:pPr>
        <w:snapToGrid w:val="0"/>
        <w:spacing w:after="120" w:line="312" w:lineRule="auto"/>
        <w:jc w:val="left"/>
        <w:rPr>
          <w:rFonts w:ascii="仿宋" w:hAnsi="仿宋" w:eastAsia="仿宋"/>
          <w:sz w:val="32"/>
          <w:szCs w:val="32"/>
        </w:rPr>
      </w:pPr>
    </w:p>
    <w:p>
      <w:pPr>
        <w:snapToGrid w:val="0"/>
        <w:spacing w:after="120" w:line="312" w:lineRule="auto"/>
        <w:jc w:val="left"/>
        <w:rPr>
          <w:rFonts w:ascii="仿宋" w:hAnsi="仿宋" w:eastAsia="仿宋"/>
          <w:sz w:val="32"/>
          <w:szCs w:val="32"/>
        </w:rPr>
      </w:pPr>
    </w:p>
    <w:p>
      <w:pPr>
        <w:snapToGrid w:val="0"/>
        <w:spacing w:after="120" w:line="312" w:lineRule="auto"/>
        <w:jc w:val="left"/>
        <w:rPr>
          <w:rFonts w:ascii="仿宋" w:hAnsi="仿宋" w:eastAsia="仿宋"/>
          <w:sz w:val="32"/>
          <w:szCs w:val="32"/>
        </w:rPr>
      </w:pPr>
    </w:p>
    <w:p>
      <w:pPr>
        <w:snapToGrid w:val="0"/>
        <w:spacing w:after="120" w:line="312" w:lineRule="auto"/>
        <w:jc w:val="left"/>
        <w:rPr>
          <w:rFonts w:ascii="仿宋" w:hAnsi="仿宋" w:eastAsia="仿宋"/>
          <w:sz w:val="32"/>
          <w:szCs w:val="32"/>
        </w:rPr>
      </w:pPr>
    </w:p>
    <w:p>
      <w:pPr>
        <w:snapToGrid w:val="0"/>
        <w:spacing w:after="120" w:line="312" w:lineRule="auto"/>
        <w:jc w:val="left"/>
        <w:rPr>
          <w:rFonts w:ascii="仿宋" w:hAnsi="仿宋" w:eastAsia="仿宋"/>
          <w:sz w:val="32"/>
          <w:szCs w:val="32"/>
        </w:rPr>
      </w:pPr>
    </w:p>
    <w:p>
      <w:pPr>
        <w:pStyle w:val="2"/>
        <w:snapToGrid w:val="0"/>
        <w:jc w:val="center"/>
        <w:rPr>
          <w:rFonts w:ascii="方正小标宋简体" w:hAnsi="方正小标宋简体" w:eastAsia="方正小标宋简体" w:cs="方正小标宋简体"/>
          <w:b w:val="0"/>
          <w:color w:val="auto"/>
          <w:sz w:val="44"/>
          <w:szCs w:val="44"/>
        </w:rPr>
      </w:pPr>
      <w:bookmarkStart w:id="25" w:name="_Toc85616712"/>
      <w:r>
        <w:rPr>
          <w:rFonts w:ascii="方正小标宋简体" w:hAnsi="方正小标宋简体" w:eastAsia="方正小标宋简体" w:cs="方正小标宋简体"/>
          <w:b w:val="0"/>
          <w:color w:val="auto"/>
          <w:sz w:val="44"/>
          <w:szCs w:val="44"/>
        </w:rPr>
        <w:fldChar w:fldCharType="begin"/>
      </w:r>
      <w:r>
        <w:rPr>
          <w:rFonts w:ascii="方正小标宋简体" w:hAnsi="方正小标宋简体" w:eastAsia="方正小标宋简体" w:cs="方正小标宋简体"/>
          <w:b w:val="0"/>
          <w:color w:val="auto"/>
          <w:sz w:val="44"/>
          <w:szCs w:val="44"/>
        </w:rPr>
        <w:instrText xml:space="preserve"> HYPERLINK  \l "_目__" </w:instrText>
      </w:r>
      <w:r>
        <w:rPr>
          <w:rFonts w:ascii="方正小标宋简体" w:hAnsi="方正小标宋简体" w:eastAsia="方正小标宋简体" w:cs="方正小标宋简体"/>
          <w:b w:val="0"/>
          <w:color w:val="auto"/>
          <w:sz w:val="44"/>
          <w:szCs w:val="44"/>
        </w:rPr>
        <w:fldChar w:fldCharType="separate"/>
      </w:r>
      <w:r>
        <w:rPr>
          <w:rStyle w:val="16"/>
          <w:rFonts w:hint="eastAsia" w:ascii="方正小标宋简体" w:hAnsi="方正小标宋简体" w:eastAsia="方正小标宋简体" w:cs="方正小标宋简体"/>
          <w:b w:val="0"/>
          <w:color w:val="auto"/>
          <w:sz w:val="44"/>
          <w:szCs w:val="44"/>
          <w:u w:val="none"/>
        </w:rPr>
        <w:t>长春大学旅游学院仪器设备和物资器材损坏丢失赔偿管理暂行办法</w:t>
      </w:r>
      <w:bookmarkEnd w:id="25"/>
      <w:r>
        <w:rPr>
          <w:rFonts w:ascii="方正小标宋简体" w:hAnsi="方正小标宋简体" w:eastAsia="方正小标宋简体" w:cs="方正小标宋简体"/>
          <w:b w:val="0"/>
          <w:color w:val="auto"/>
          <w:sz w:val="44"/>
          <w:szCs w:val="44"/>
        </w:rPr>
        <w:fldChar w:fldCharType="end"/>
      </w:r>
    </w:p>
    <w:p>
      <w:pPr>
        <w:pStyle w:val="3"/>
        <w:jc w:val="center"/>
        <w:rPr>
          <w:rFonts w:ascii="黑体" w:hAnsi="黑体"/>
          <w:szCs w:val="32"/>
        </w:rPr>
      </w:pPr>
      <w:bookmarkStart w:id="26" w:name="_Toc85616188"/>
      <w:r>
        <w:rPr>
          <w:b w:val="0"/>
          <w:bCs/>
        </w:rPr>
        <w:t>第一章</w:t>
      </w:r>
      <w:r>
        <w:rPr>
          <w:rFonts w:hint="eastAsia"/>
          <w:b w:val="0"/>
          <w:bCs/>
        </w:rPr>
        <w:t xml:space="preserve">  </w:t>
      </w:r>
      <w:r>
        <w:rPr>
          <w:b w:val="0"/>
          <w:bCs/>
        </w:rPr>
        <w:t>总 则</w:t>
      </w:r>
      <w:bookmarkEnd w:id="26"/>
    </w:p>
    <w:p>
      <w:pPr>
        <w:snapToGrid w:val="0"/>
        <w:spacing w:after="120" w:line="600" w:lineRule="exact"/>
        <w:ind w:firstLine="646" w:firstLineChars="202"/>
        <w:jc w:val="left"/>
        <w:rPr>
          <w:rFonts w:ascii="仿宋" w:hAnsi="仿宋" w:eastAsia="仿宋"/>
          <w:sz w:val="32"/>
          <w:szCs w:val="32"/>
        </w:rPr>
      </w:pPr>
      <w:r>
        <w:rPr>
          <w:rFonts w:ascii="仿宋" w:hAnsi="仿宋" w:eastAsia="仿宋"/>
          <w:bCs/>
          <w:sz w:val="32"/>
          <w:szCs w:val="32"/>
        </w:rPr>
        <w:t>第一条</w:t>
      </w:r>
      <w:r>
        <w:rPr>
          <w:rFonts w:ascii="仿宋" w:hAnsi="仿宋" w:eastAsia="仿宋"/>
          <w:sz w:val="32"/>
          <w:szCs w:val="32"/>
        </w:rPr>
        <w:t xml:space="preserve"> 为激发师生员工爱护学校财产的责任心，维护仪器设备、物资器材（以下简称设备）的完整，减少损失和丢失，保证教学、科研、生产和社会服务顺利进行，特制定本办法。</w:t>
      </w:r>
    </w:p>
    <w:p>
      <w:pPr>
        <w:snapToGrid w:val="0"/>
        <w:spacing w:after="120" w:line="600" w:lineRule="exact"/>
        <w:ind w:firstLine="646" w:firstLineChars="202"/>
        <w:jc w:val="left"/>
        <w:rPr>
          <w:rFonts w:ascii="仿宋" w:hAnsi="仿宋" w:eastAsia="仿宋"/>
          <w:sz w:val="32"/>
          <w:szCs w:val="32"/>
        </w:rPr>
      </w:pPr>
      <w:r>
        <w:rPr>
          <w:rFonts w:ascii="仿宋" w:hAnsi="仿宋" w:eastAsia="仿宋"/>
          <w:bCs/>
          <w:sz w:val="32"/>
          <w:szCs w:val="32"/>
        </w:rPr>
        <w:t>第二条</w:t>
      </w:r>
      <w:r>
        <w:rPr>
          <w:rFonts w:ascii="仿宋" w:hAnsi="仿宋" w:eastAsia="仿宋"/>
          <w:sz w:val="32"/>
          <w:szCs w:val="32"/>
        </w:rPr>
        <w:t xml:space="preserve"> 学校的一切物资均属于学校自有资产，各使用资产的部门</w:t>
      </w:r>
      <w:r>
        <w:rPr>
          <w:rFonts w:hint="eastAsia" w:ascii="仿宋" w:hAnsi="仿宋" w:eastAsia="仿宋"/>
          <w:sz w:val="32"/>
          <w:szCs w:val="32"/>
        </w:rPr>
        <w:t>和个人</w:t>
      </w:r>
      <w:r>
        <w:rPr>
          <w:rFonts w:ascii="仿宋" w:hAnsi="仿宋" w:eastAsia="仿宋"/>
          <w:sz w:val="32"/>
          <w:szCs w:val="32"/>
        </w:rPr>
        <w:t>必须自觉爱护，加强管理，严格遵守学校有关管理制度和安全操作规程，切实防止资产的损坏和丢失，严禁私自处置，一旦发生损坏、丢失、私自处置，必须按有关规定处理。</w:t>
      </w:r>
    </w:p>
    <w:p>
      <w:pPr>
        <w:snapToGrid w:val="0"/>
        <w:spacing w:after="120" w:line="600" w:lineRule="exact"/>
        <w:ind w:firstLine="646" w:firstLineChars="202"/>
        <w:jc w:val="left"/>
        <w:rPr>
          <w:rFonts w:ascii="仿宋" w:hAnsi="仿宋" w:eastAsia="仿宋"/>
          <w:sz w:val="32"/>
          <w:szCs w:val="32"/>
        </w:rPr>
      </w:pPr>
      <w:r>
        <w:rPr>
          <w:rFonts w:ascii="仿宋" w:hAnsi="仿宋" w:eastAsia="仿宋"/>
          <w:bCs/>
          <w:sz w:val="32"/>
          <w:szCs w:val="32"/>
        </w:rPr>
        <w:t>第三条</w:t>
      </w:r>
      <w:r>
        <w:rPr>
          <w:rFonts w:ascii="仿宋" w:hAnsi="仿宋" w:eastAsia="仿宋"/>
          <w:sz w:val="32"/>
          <w:szCs w:val="32"/>
        </w:rPr>
        <w:t xml:space="preserve"> 学校师生员工都应自觉地爱护设备，各单位应该经常对师生员工进行勤俭办学、爱护公共财产的教育，严格遵守学校的规章制度，各级领导要定期检查制度执行情况。</w:t>
      </w:r>
    </w:p>
    <w:p>
      <w:pPr>
        <w:snapToGrid w:val="0"/>
        <w:spacing w:after="120" w:line="600" w:lineRule="exact"/>
        <w:ind w:firstLine="646" w:firstLineChars="202"/>
        <w:jc w:val="left"/>
        <w:rPr>
          <w:rFonts w:ascii="仿宋" w:hAnsi="仿宋" w:eastAsia="仿宋"/>
          <w:sz w:val="32"/>
          <w:szCs w:val="32"/>
        </w:rPr>
      </w:pPr>
      <w:r>
        <w:rPr>
          <w:rFonts w:ascii="仿宋" w:hAnsi="仿宋" w:eastAsia="仿宋"/>
          <w:bCs/>
          <w:sz w:val="32"/>
          <w:szCs w:val="32"/>
        </w:rPr>
        <w:t>第四条</w:t>
      </w:r>
      <w:r>
        <w:rPr>
          <w:rFonts w:ascii="仿宋" w:hAnsi="仿宋" w:eastAsia="仿宋"/>
          <w:sz w:val="32"/>
          <w:szCs w:val="32"/>
        </w:rPr>
        <w:t xml:space="preserve"> 因责任事故造成设备损坏、丢失的，原则上均应赔偿，具体处理时，要根据具体情节具体分析、区别对待，责令赔偿损失价值的全部、部分或免予赔偿。</w:t>
      </w:r>
    </w:p>
    <w:p>
      <w:pPr>
        <w:snapToGrid w:val="0"/>
        <w:spacing w:after="120" w:line="600" w:lineRule="exact"/>
        <w:ind w:firstLine="646" w:firstLineChars="202"/>
        <w:jc w:val="left"/>
        <w:rPr>
          <w:rFonts w:ascii="仿宋" w:hAnsi="仿宋" w:eastAsia="仿宋"/>
          <w:sz w:val="32"/>
          <w:szCs w:val="32"/>
        </w:rPr>
      </w:pPr>
      <w:r>
        <w:rPr>
          <w:rFonts w:ascii="仿宋" w:hAnsi="仿宋" w:eastAsia="仿宋"/>
          <w:bCs/>
          <w:sz w:val="32"/>
          <w:szCs w:val="32"/>
        </w:rPr>
        <w:t>第五条</w:t>
      </w:r>
      <w:r>
        <w:rPr>
          <w:rFonts w:ascii="仿宋" w:hAnsi="仿宋" w:eastAsia="仿宋"/>
          <w:sz w:val="32"/>
          <w:szCs w:val="32"/>
        </w:rPr>
        <w:t xml:space="preserve"> 对设备损坏、丢失的责任事故及处理情况，要填写《长春大学旅游学院仪器设备损坏、丢失事故报告单》，经院（部、处）领导签字，报给学校资产管理处，并上报学校领导。对重大事故，要认真研究、分析原因，吸取教训，制订改进措施，避免重犯，并要结合事故典型，对有关人员进行现场教育，不断改进工作。</w:t>
      </w:r>
    </w:p>
    <w:p>
      <w:pPr>
        <w:pStyle w:val="3"/>
        <w:jc w:val="center"/>
        <w:rPr>
          <w:b w:val="0"/>
          <w:bCs/>
        </w:rPr>
      </w:pPr>
      <w:bookmarkStart w:id="27" w:name="_Toc85616189"/>
      <w:r>
        <w:rPr>
          <w:b w:val="0"/>
          <w:bCs/>
        </w:rPr>
        <w:t>第二章</w:t>
      </w:r>
      <w:r>
        <w:rPr>
          <w:rFonts w:hint="eastAsia"/>
          <w:b w:val="0"/>
          <w:bCs/>
        </w:rPr>
        <w:t xml:space="preserve">  </w:t>
      </w:r>
      <w:r>
        <w:rPr>
          <w:b w:val="0"/>
          <w:bCs/>
        </w:rPr>
        <w:t>赔偿界限</w:t>
      </w:r>
      <w:bookmarkEnd w:id="27"/>
    </w:p>
    <w:p>
      <w:pPr>
        <w:snapToGrid w:val="0"/>
        <w:spacing w:line="620" w:lineRule="exact"/>
        <w:ind w:firstLine="646" w:firstLineChars="202"/>
        <w:jc w:val="left"/>
        <w:rPr>
          <w:rFonts w:ascii="仿宋" w:hAnsi="仿宋" w:eastAsia="仿宋"/>
          <w:sz w:val="32"/>
          <w:szCs w:val="32"/>
        </w:rPr>
      </w:pPr>
      <w:r>
        <w:rPr>
          <w:rFonts w:ascii="仿宋" w:hAnsi="仿宋" w:eastAsia="仿宋"/>
          <w:bCs/>
          <w:sz w:val="32"/>
          <w:szCs w:val="32"/>
        </w:rPr>
        <w:t>第六条</w:t>
      </w:r>
      <w:r>
        <w:rPr>
          <w:rFonts w:ascii="仿宋" w:hAnsi="仿宋" w:eastAsia="仿宋"/>
          <w:sz w:val="32"/>
          <w:szCs w:val="32"/>
        </w:rPr>
        <w:t xml:space="preserve"> 由于下列主观原因之一，发生责任事故，造成设备损坏、丢失的，应予赔偿。</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（一）不熟悉操作规程，又未经仪器设备主管人许可，擅自启动设备的;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（二）不听从指导，违反操作规程作业的；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（三）未经批准，擅自拆、改设备的；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（四）未经许可，将设备拿出实验室（或仓库），造成损坏、丢失的；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（五）未经许可，擅自出租、出借、出卖或挪作私用，造成损坏、丢失的；未造成损失者，要按日收取折旧费；</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（六）工作责任心差，不负责任，人为因素造成损坏、丢失的；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（七）违反规章制度，造成损坏丢失的。</w:t>
      </w:r>
    </w:p>
    <w:p>
      <w:pPr>
        <w:snapToGrid w:val="0"/>
        <w:spacing w:line="620" w:lineRule="exact"/>
        <w:ind w:firstLine="646" w:firstLineChars="202"/>
        <w:jc w:val="left"/>
        <w:rPr>
          <w:rFonts w:ascii="仿宋" w:hAnsi="仿宋" w:eastAsia="仿宋"/>
          <w:sz w:val="32"/>
          <w:szCs w:val="32"/>
        </w:rPr>
      </w:pPr>
      <w:r>
        <w:rPr>
          <w:rFonts w:ascii="仿宋" w:hAnsi="仿宋" w:eastAsia="仿宋"/>
          <w:bCs/>
          <w:sz w:val="32"/>
          <w:szCs w:val="32"/>
        </w:rPr>
        <w:t>第七条</w:t>
      </w:r>
      <w:r>
        <w:rPr>
          <w:rFonts w:ascii="仿宋" w:hAnsi="仿宋" w:eastAsia="仿宋"/>
          <w:sz w:val="32"/>
          <w:szCs w:val="32"/>
        </w:rPr>
        <w:t xml:space="preserve"> 下列原因造成设备损坏、丢失的设备器材，经院（部、处）主管领导同意、报学校资产管理处，经学校批准的，可不予赔偿或酌情减轻赔偿。</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属下列情况之一者可不赔偿：</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（一）由于实验本身的特殊性，虽采取预防措施，仍难避免的；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（二）因设备本身原因，如质量差、折旧年限已过或接近折旧年限，在正常使用情况下引起的自然损耗、损坏；</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（三）按操作规程操作设备的；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（四）经批准，使用新的试验方法、方案，虽采取预防措施仍未能避免的；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（五）因工作性质所致，需经常移动而造成易碎、易损的低值易耗品和零配件的损坏，且所造成损失情况不严重的</w:t>
      </w:r>
      <w:r>
        <w:rPr>
          <w:rFonts w:hint="eastAsia" w:ascii="仿宋" w:hAnsi="仿宋" w:eastAsia="仿宋"/>
          <w:sz w:val="32"/>
          <w:szCs w:val="32"/>
        </w:rPr>
        <w:t>;</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（六）其他客观原因造成的意外事故损失。</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属下列情况之一者，可酌情减轻赔偿：</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（一）一贯遵守制度，爱护设备，偶尔疏忽造成损失的；</w:t>
      </w:r>
    </w:p>
    <w:p>
      <w:pPr>
        <w:snapToGrid w:val="0"/>
        <w:spacing w:line="620" w:lineRule="exact"/>
        <w:ind w:firstLine="646" w:firstLineChars="202"/>
        <w:jc w:val="left"/>
        <w:rPr>
          <w:rFonts w:ascii="仿宋" w:hAnsi="仿宋" w:eastAsia="仿宋"/>
          <w:sz w:val="32"/>
          <w:szCs w:val="32"/>
        </w:rPr>
      </w:pPr>
      <w:r>
        <w:rPr>
          <w:rFonts w:ascii="仿宋" w:hAnsi="仿宋" w:eastAsia="仿宋"/>
          <w:sz w:val="32"/>
          <w:szCs w:val="32"/>
        </w:rPr>
        <w:t>（二）虽是责任事故，但能如实报告，积极采取措施挽救损失的。</w:t>
      </w:r>
    </w:p>
    <w:p>
      <w:pPr>
        <w:snapToGrid w:val="0"/>
        <w:spacing w:line="620" w:lineRule="exact"/>
        <w:ind w:firstLine="646" w:firstLineChars="202"/>
        <w:jc w:val="left"/>
        <w:rPr>
          <w:rFonts w:ascii="仿宋" w:hAnsi="仿宋" w:eastAsia="仿宋"/>
          <w:sz w:val="32"/>
          <w:szCs w:val="32"/>
        </w:rPr>
      </w:pPr>
      <w:r>
        <w:rPr>
          <w:rFonts w:ascii="仿宋" w:hAnsi="仿宋" w:eastAsia="仿宋"/>
          <w:bCs/>
          <w:sz w:val="32"/>
          <w:szCs w:val="32"/>
        </w:rPr>
        <w:t>第八条</w:t>
      </w:r>
      <w:r>
        <w:rPr>
          <w:rFonts w:ascii="仿宋" w:hAnsi="仿宋" w:eastAsia="仿宋"/>
          <w:sz w:val="32"/>
          <w:szCs w:val="32"/>
        </w:rPr>
        <w:t xml:space="preserve"> 因责任事故造成设备损失，除按上述规定赔偿外，要根据情节轻重及本人态度，决定是否给予批评教育、检讨、处分或免于检讨、处分。对一贯责任心不强、不爱护公物者，严重违反操作过程者，事故发生后不报、或报告假情况、互相推诿责任、态度恶劣者，应予以从重处理。</w:t>
      </w:r>
    </w:p>
    <w:p>
      <w:pPr>
        <w:snapToGrid w:val="0"/>
        <w:spacing w:before="180" w:after="180" w:line="580" w:lineRule="exact"/>
        <w:jc w:val="center"/>
        <w:rPr>
          <w:rFonts w:ascii="Arial" w:hAnsi="Arial" w:eastAsia="黑体"/>
          <w:bCs/>
          <w:sz w:val="32"/>
        </w:rPr>
      </w:pPr>
    </w:p>
    <w:p>
      <w:pPr>
        <w:pStyle w:val="3"/>
        <w:jc w:val="center"/>
        <w:rPr>
          <w:b w:val="0"/>
          <w:bCs/>
        </w:rPr>
      </w:pPr>
      <w:bookmarkStart w:id="28" w:name="_Toc85616190"/>
      <w:r>
        <w:rPr>
          <w:b w:val="0"/>
          <w:bCs/>
        </w:rPr>
        <w:t>第三章</w:t>
      </w:r>
      <w:r>
        <w:rPr>
          <w:rFonts w:hint="eastAsia"/>
          <w:b w:val="0"/>
          <w:bCs/>
        </w:rPr>
        <w:t xml:space="preserve">  </w:t>
      </w:r>
      <w:r>
        <w:rPr>
          <w:b w:val="0"/>
          <w:bCs/>
        </w:rPr>
        <w:t>赔偿办法</w:t>
      </w:r>
      <w:bookmarkEnd w:id="28"/>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第九条</w:t>
      </w:r>
      <w:r>
        <w:rPr>
          <w:rFonts w:ascii="仿宋" w:hAnsi="仿宋" w:eastAsia="仿宋"/>
          <w:sz w:val="32"/>
          <w:szCs w:val="32"/>
        </w:rPr>
        <w:t xml:space="preserve"> 发生设备损坏、丢失事故时，必须及时报告，涉及固定资产的填写《长春大学旅游学院仪器设备损坏、丢失事故报告单》，报学校资产管理处，由资产管理处提出处理意见，报学校批准。必要时，要立即报告学校安全处</w:t>
      </w:r>
      <w:r>
        <w:rPr>
          <w:rFonts w:hint="eastAsia" w:ascii="仿宋" w:hAnsi="仿宋" w:eastAsia="仿宋"/>
          <w:sz w:val="32"/>
          <w:szCs w:val="32"/>
        </w:rPr>
        <w:t>介入调查</w:t>
      </w:r>
      <w:r>
        <w:rPr>
          <w:rFonts w:ascii="仿宋" w:hAnsi="仿宋" w:eastAsia="仿宋"/>
          <w:sz w:val="32"/>
          <w:szCs w:val="32"/>
        </w:rPr>
        <w:t>。</w:t>
      </w:r>
    </w:p>
    <w:p>
      <w:pPr>
        <w:snapToGrid w:val="0"/>
        <w:spacing w:after="120" w:line="580" w:lineRule="exact"/>
        <w:ind w:firstLine="646" w:firstLineChars="202"/>
        <w:jc w:val="left"/>
        <w:rPr>
          <w:rFonts w:ascii="仿宋" w:hAnsi="仿宋" w:eastAsia="仿宋"/>
          <w:sz w:val="32"/>
          <w:szCs w:val="32"/>
        </w:rPr>
      </w:pPr>
      <w:r>
        <w:rPr>
          <w:rFonts w:ascii="仿宋" w:hAnsi="仿宋" w:eastAsia="仿宋"/>
          <w:sz w:val="32"/>
          <w:szCs w:val="32"/>
        </w:rPr>
        <w:t>第十条 损坏、丢失设备价值的计算方法</w:t>
      </w:r>
      <w:r>
        <w:rPr>
          <w:rFonts w:hint="eastAsia" w:ascii="仿宋" w:hAnsi="仿宋" w:eastAsia="仿宋"/>
          <w:sz w:val="32"/>
          <w:szCs w:val="32"/>
        </w:rPr>
        <w:t>。</w:t>
      </w:r>
    </w:p>
    <w:p>
      <w:pPr>
        <w:snapToGrid w:val="0"/>
        <w:spacing w:after="120" w:line="580" w:lineRule="exact"/>
        <w:ind w:firstLine="646" w:firstLineChars="202"/>
        <w:jc w:val="left"/>
        <w:rPr>
          <w:rFonts w:ascii="仿宋" w:hAnsi="仿宋" w:eastAsia="仿宋"/>
          <w:sz w:val="32"/>
          <w:szCs w:val="32"/>
        </w:rPr>
      </w:pPr>
      <w:r>
        <w:rPr>
          <w:rFonts w:ascii="仿宋" w:hAnsi="仿宋" w:eastAsia="仿宋"/>
          <w:sz w:val="32"/>
          <w:szCs w:val="32"/>
        </w:rPr>
        <w:t>（一）损坏、丢失零配件，只计算零配件的损失价值；</w:t>
      </w:r>
    </w:p>
    <w:p>
      <w:pPr>
        <w:snapToGrid w:val="0"/>
        <w:spacing w:after="120" w:line="580" w:lineRule="exact"/>
        <w:ind w:firstLine="646" w:firstLineChars="202"/>
        <w:jc w:val="left"/>
        <w:rPr>
          <w:rFonts w:ascii="仿宋" w:hAnsi="仿宋" w:eastAsia="仿宋"/>
          <w:sz w:val="32"/>
          <w:szCs w:val="32"/>
        </w:rPr>
      </w:pPr>
      <w:r>
        <w:rPr>
          <w:rFonts w:ascii="仿宋" w:hAnsi="仿宋" w:eastAsia="仿宋"/>
          <w:sz w:val="32"/>
          <w:szCs w:val="32"/>
        </w:rPr>
        <w:t>（二）局部损坏且可以修复，只计算修配费；</w:t>
      </w:r>
    </w:p>
    <w:p>
      <w:pPr>
        <w:snapToGrid w:val="0"/>
        <w:spacing w:after="120" w:line="580" w:lineRule="exact"/>
        <w:ind w:firstLine="646" w:firstLineChars="202"/>
        <w:jc w:val="left"/>
        <w:rPr>
          <w:rFonts w:ascii="仿宋" w:hAnsi="仿宋" w:eastAsia="仿宋"/>
          <w:sz w:val="32"/>
          <w:szCs w:val="32"/>
        </w:rPr>
      </w:pPr>
      <w:r>
        <w:rPr>
          <w:rFonts w:ascii="仿宋" w:hAnsi="仿宋" w:eastAsia="仿宋"/>
          <w:sz w:val="32"/>
          <w:szCs w:val="32"/>
        </w:rPr>
        <w:t>（三）局部损坏、造成整台设备报废的，计算整台设备的价值；</w:t>
      </w:r>
    </w:p>
    <w:p>
      <w:pPr>
        <w:snapToGrid w:val="0"/>
        <w:spacing w:after="120" w:line="580" w:lineRule="exact"/>
        <w:ind w:firstLine="646" w:firstLineChars="202"/>
        <w:jc w:val="left"/>
        <w:rPr>
          <w:rFonts w:ascii="仿宋" w:hAnsi="仿宋" w:eastAsia="仿宋"/>
          <w:sz w:val="32"/>
          <w:szCs w:val="32"/>
        </w:rPr>
      </w:pPr>
      <w:r>
        <w:rPr>
          <w:rFonts w:ascii="仿宋" w:hAnsi="仿宋" w:eastAsia="仿宋"/>
          <w:sz w:val="32"/>
          <w:szCs w:val="32"/>
        </w:rPr>
        <w:t>（四）凡可作为个人、家庭使用的民用设备，如照相机、录像机、微型计算机（含笔记本电脑）等设备损坏、丢失的，应严格计价赔偿；</w:t>
      </w:r>
    </w:p>
    <w:p>
      <w:pPr>
        <w:snapToGrid w:val="0"/>
        <w:spacing w:after="120" w:line="580" w:lineRule="exact"/>
        <w:ind w:firstLine="646" w:firstLineChars="202"/>
        <w:jc w:val="left"/>
        <w:rPr>
          <w:rFonts w:ascii="仿宋" w:hAnsi="仿宋" w:eastAsia="仿宋"/>
          <w:sz w:val="32"/>
          <w:szCs w:val="32"/>
        </w:rPr>
      </w:pPr>
      <w:r>
        <w:rPr>
          <w:rFonts w:ascii="仿宋" w:hAnsi="仿宋" w:eastAsia="仿宋"/>
          <w:sz w:val="32"/>
          <w:szCs w:val="32"/>
        </w:rPr>
        <w:t>（五）损坏丢失的仪器设备或零部件，按新旧程度合理折旧后计算赔金。情节特殊的，可根据仪器设备器材使用年限、现状，并结合市价合理协商计算。</w:t>
      </w:r>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第十一条</w:t>
      </w:r>
      <w:r>
        <w:rPr>
          <w:rFonts w:ascii="仿宋" w:hAnsi="仿宋" w:eastAsia="仿宋"/>
          <w:sz w:val="32"/>
          <w:szCs w:val="32"/>
        </w:rPr>
        <w:t xml:space="preserve"> 损坏、丢失设备的责任事故，属多人共同负责的，应根据各人责任大小和认识表现，分别予以适当的批评和处分，分担赔偿费。</w:t>
      </w:r>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第十二条</w:t>
      </w:r>
      <w:r>
        <w:rPr>
          <w:rFonts w:ascii="仿宋" w:hAnsi="仿宋" w:eastAsia="仿宋"/>
          <w:sz w:val="32"/>
          <w:szCs w:val="32"/>
        </w:rPr>
        <w:t xml:space="preserve"> 赔偿费可根据金额多少和本人经济情况，决定一次性赔偿或是分期偿还。无故拖欠不缴的，教工由学校财务处在工资内扣还，学生不予注册，毕业生不予办理离校手续。</w:t>
      </w:r>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第十三条</w:t>
      </w:r>
      <w:r>
        <w:rPr>
          <w:rFonts w:ascii="仿宋" w:hAnsi="仿宋" w:eastAsia="仿宋"/>
          <w:sz w:val="32"/>
          <w:szCs w:val="32"/>
        </w:rPr>
        <w:t xml:space="preserve"> 赔偿费全部上交学校财务处，纳入学校设备维修费。</w:t>
      </w:r>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第十四条</w:t>
      </w:r>
      <w:r>
        <w:rPr>
          <w:rFonts w:ascii="仿宋" w:hAnsi="仿宋" w:eastAsia="仿宋"/>
          <w:sz w:val="32"/>
          <w:szCs w:val="32"/>
        </w:rPr>
        <w:t xml:space="preserve"> 赔偿人经济上确有困难的，本人可以提出申请，经有关单位调查证明，报学校资产管理处并经学校同意，可以缓期偿还或减免一部分。</w:t>
      </w:r>
    </w:p>
    <w:p>
      <w:pPr>
        <w:pStyle w:val="3"/>
        <w:jc w:val="center"/>
        <w:rPr>
          <w:b w:val="0"/>
          <w:bCs/>
        </w:rPr>
      </w:pPr>
      <w:bookmarkStart w:id="29" w:name="_Toc85616191"/>
      <w:r>
        <w:rPr>
          <w:b w:val="0"/>
          <w:bCs/>
        </w:rPr>
        <w:t>第四章</w:t>
      </w:r>
      <w:r>
        <w:rPr>
          <w:rFonts w:hint="eastAsia"/>
          <w:b w:val="0"/>
          <w:bCs/>
        </w:rPr>
        <w:t xml:space="preserve">  </w:t>
      </w:r>
      <w:r>
        <w:rPr>
          <w:b w:val="0"/>
          <w:bCs/>
        </w:rPr>
        <w:t>附 则</w:t>
      </w:r>
      <w:bookmarkEnd w:id="29"/>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第十五条</w:t>
      </w:r>
      <w:r>
        <w:rPr>
          <w:rFonts w:ascii="仿宋" w:hAnsi="仿宋" w:eastAsia="仿宋"/>
          <w:sz w:val="32"/>
          <w:szCs w:val="32"/>
        </w:rPr>
        <w:t xml:space="preserve"> 本办法由资产管理处负责解释。</w:t>
      </w:r>
    </w:p>
    <w:p>
      <w:pPr>
        <w:snapToGrid w:val="0"/>
        <w:spacing w:after="120" w:line="580" w:lineRule="exact"/>
        <w:ind w:firstLine="646" w:firstLineChars="202"/>
        <w:jc w:val="left"/>
        <w:rPr>
          <w:rFonts w:ascii="仿宋" w:hAnsi="仿宋" w:eastAsia="仿宋"/>
          <w:sz w:val="32"/>
          <w:szCs w:val="32"/>
        </w:rPr>
      </w:pPr>
      <w:r>
        <w:rPr>
          <w:rFonts w:ascii="仿宋" w:hAnsi="仿宋" w:eastAsia="仿宋"/>
          <w:bCs/>
          <w:sz w:val="32"/>
          <w:szCs w:val="32"/>
        </w:rPr>
        <w:t>第十六条</w:t>
      </w:r>
      <w:r>
        <w:rPr>
          <w:rFonts w:ascii="仿宋" w:hAnsi="仿宋" w:eastAsia="仿宋"/>
          <w:sz w:val="32"/>
          <w:szCs w:val="32"/>
        </w:rPr>
        <w:t xml:space="preserve"> 本办法自发布之日起施行，原管理办法同时废止。</w:t>
      </w:r>
    </w:p>
    <w:p>
      <w:pPr>
        <w:rPr>
          <w:rFonts w:ascii="仿宋" w:hAnsi="仿宋" w:eastAsia="仿宋"/>
          <w:sz w:val="32"/>
          <w:szCs w:val="32"/>
        </w:rPr>
      </w:pPr>
      <w:r>
        <w:rPr>
          <w:rFonts w:ascii="仿宋" w:hAnsi="仿宋" w:eastAsia="仿宋"/>
          <w:sz w:val="32"/>
          <w:szCs w:val="32"/>
        </w:rPr>
        <w:br w:type="page"/>
      </w:r>
    </w:p>
    <w:p>
      <w:pPr>
        <w:pStyle w:val="2"/>
        <w:jc w:val="center"/>
        <w:rPr>
          <w:rFonts w:ascii="方正小标宋简体" w:eastAsia="方正小标宋简体"/>
          <w:b w:val="0"/>
          <w:sz w:val="44"/>
          <w:szCs w:val="44"/>
        </w:rPr>
      </w:pPr>
      <w:bookmarkStart w:id="30" w:name="_Toc85616713"/>
      <w:r>
        <w:rPr>
          <w:rFonts w:hint="eastAsia" w:ascii="方正小标宋简体" w:eastAsia="方正小标宋简体"/>
          <w:b w:val="0"/>
          <w:sz w:val="44"/>
          <w:szCs w:val="44"/>
        </w:rPr>
        <w:fldChar w:fldCharType="begin"/>
      </w:r>
      <w:r>
        <w:rPr>
          <w:rFonts w:hint="eastAsia" w:ascii="方正小标宋简体" w:eastAsia="方正小标宋简体"/>
          <w:b w:val="0"/>
          <w:sz w:val="44"/>
          <w:szCs w:val="44"/>
        </w:rPr>
        <w:instrText xml:space="preserve"> HYPERLINK  \l "_目__" </w:instrText>
      </w:r>
      <w:r>
        <w:rPr>
          <w:rFonts w:hint="eastAsia" w:ascii="方正小标宋简体" w:eastAsia="方正小标宋简体"/>
          <w:b w:val="0"/>
          <w:sz w:val="44"/>
          <w:szCs w:val="44"/>
        </w:rPr>
        <w:fldChar w:fldCharType="separate"/>
      </w:r>
      <w:r>
        <w:rPr>
          <w:rFonts w:hint="eastAsia" w:ascii="方正小标宋简体" w:eastAsia="方正小标宋简体"/>
          <w:b w:val="0"/>
          <w:sz w:val="44"/>
          <w:szCs w:val="44"/>
        </w:rPr>
        <w:t>长春大学旅游学院仪器设备、家具管理使用人员离岗办理移交手续的规定</w:t>
      </w:r>
      <w:bookmarkEnd w:id="30"/>
      <w:r>
        <w:rPr>
          <w:rFonts w:hint="eastAsia" w:ascii="方正小标宋简体" w:eastAsia="方正小标宋简体"/>
          <w:b w:val="0"/>
          <w:sz w:val="44"/>
          <w:szCs w:val="44"/>
        </w:rPr>
        <w:fldChar w:fldCharType="end"/>
      </w:r>
    </w:p>
    <w:p>
      <w:pPr>
        <w:snapToGrid w:val="0"/>
        <w:spacing w:after="120" w:line="312" w:lineRule="auto"/>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第一条</w:t>
      </w:r>
      <w:r>
        <w:rPr>
          <w:rFonts w:ascii="仿宋" w:hAnsi="仿宋" w:eastAsia="仿宋"/>
          <w:sz w:val="32"/>
          <w:szCs w:val="32"/>
        </w:rPr>
        <w:t>为加强学校资产管理，防止因人员变动或机构调整造成资产流失,按照学校相关要求，特制定本规定。</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w:t>
      </w:r>
      <w:r>
        <w:rPr>
          <w:rFonts w:hint="eastAsia" w:ascii="仿宋" w:hAnsi="仿宋" w:eastAsia="仿宋"/>
          <w:bCs/>
          <w:sz w:val="32"/>
          <w:szCs w:val="32"/>
        </w:rPr>
        <w:t>二</w:t>
      </w:r>
      <w:r>
        <w:rPr>
          <w:rFonts w:ascii="仿宋" w:hAnsi="仿宋" w:eastAsia="仿宋"/>
          <w:bCs/>
          <w:sz w:val="32"/>
          <w:szCs w:val="32"/>
        </w:rPr>
        <w:t>条</w:t>
      </w:r>
      <w:r>
        <w:rPr>
          <w:rFonts w:ascii="仿宋" w:hAnsi="仿宋" w:eastAsia="仿宋"/>
          <w:sz w:val="32"/>
          <w:szCs w:val="32"/>
        </w:rPr>
        <w:t xml:space="preserve"> 本规定所指人员变动情况包括退休、辞退、开除、自动离职等人员以及经过学校同意在学校内部调动工作岗位的人员。</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本规定所指机构变动情况包括经学校批准，校内单位之间或单位内部进行合并、分立或重新组建等机构调整行为和经学校批准，因工作需要变动的其他行为。</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w:t>
      </w:r>
      <w:r>
        <w:rPr>
          <w:rFonts w:hint="eastAsia" w:ascii="仿宋" w:hAnsi="仿宋" w:eastAsia="仿宋"/>
          <w:bCs/>
          <w:sz w:val="32"/>
          <w:szCs w:val="32"/>
        </w:rPr>
        <w:t>三</w:t>
      </w:r>
      <w:r>
        <w:rPr>
          <w:rFonts w:ascii="仿宋" w:hAnsi="仿宋" w:eastAsia="仿宋"/>
          <w:bCs/>
          <w:sz w:val="32"/>
          <w:szCs w:val="32"/>
        </w:rPr>
        <w:t>条</w:t>
      </w:r>
      <w:r>
        <w:rPr>
          <w:rFonts w:ascii="仿宋" w:hAnsi="仿宋" w:eastAsia="仿宋"/>
          <w:sz w:val="32"/>
          <w:szCs w:val="32"/>
        </w:rPr>
        <w:t xml:space="preserve"> 对人员变动的按以下要求办理交接手续</w: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t>（一）仪器设备、家具</w:t>
      </w:r>
      <w:r>
        <w:rPr>
          <w:rFonts w:hint="eastAsia" w:ascii="仿宋" w:hAnsi="仿宋" w:eastAsia="仿宋"/>
          <w:sz w:val="32"/>
          <w:szCs w:val="32"/>
        </w:rPr>
        <w:t>的</w:t>
      </w:r>
      <w:r>
        <w:rPr>
          <w:rFonts w:ascii="仿宋" w:hAnsi="仿宋" w:eastAsia="仿宋"/>
          <w:sz w:val="32"/>
          <w:szCs w:val="32"/>
        </w:rPr>
        <w:t>管理</w:t>
      </w:r>
      <w:r>
        <w:rPr>
          <w:rFonts w:hint="eastAsia" w:ascii="仿宋" w:hAnsi="仿宋" w:eastAsia="仿宋"/>
          <w:sz w:val="32"/>
          <w:szCs w:val="32"/>
        </w:rPr>
        <w:t>或</w:t>
      </w:r>
      <w:r>
        <w:rPr>
          <w:rFonts w:ascii="仿宋" w:hAnsi="仿宋" w:eastAsia="仿宋"/>
          <w:sz w:val="32"/>
          <w:szCs w:val="32"/>
        </w:rPr>
        <w:t>使用人员，其离岗前应将所经管和使用的设备、家具等资产移交给本单位接替人员，做到账、物清楚，并与本单位设备管理人员一同到资产管理处办理账目移交手续。手续完毕后，资产管理处在人员变动（退、离、调）单上签字，人事处方可办理相关手续。</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w:t>
      </w:r>
      <w:r>
        <w:rPr>
          <w:rFonts w:hint="eastAsia" w:ascii="仿宋" w:hAnsi="仿宋" w:eastAsia="仿宋"/>
          <w:bCs/>
          <w:sz w:val="32"/>
          <w:szCs w:val="32"/>
        </w:rPr>
        <w:t>四</w:t>
      </w:r>
      <w:r>
        <w:rPr>
          <w:rFonts w:ascii="仿宋" w:hAnsi="仿宋" w:eastAsia="仿宋"/>
          <w:bCs/>
          <w:sz w:val="32"/>
          <w:szCs w:val="32"/>
        </w:rPr>
        <w:t>条</w:t>
      </w:r>
      <w:r>
        <w:rPr>
          <w:rFonts w:ascii="仿宋" w:hAnsi="仿宋" w:eastAsia="仿宋"/>
          <w:sz w:val="32"/>
          <w:szCs w:val="32"/>
        </w:rPr>
        <w:t xml:space="preserve"> 因病长期休养、或其它原因的资产催还和清缴工作，由原单位主管领导和仪器设备管理人员负责，并应在其本人离岗后的1个月内完成此项工作。</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w:t>
      </w:r>
      <w:r>
        <w:rPr>
          <w:rFonts w:hint="eastAsia" w:ascii="仿宋" w:hAnsi="仿宋" w:eastAsia="仿宋"/>
          <w:bCs/>
          <w:sz w:val="32"/>
          <w:szCs w:val="32"/>
        </w:rPr>
        <w:t>五</w:t>
      </w:r>
      <w:r>
        <w:rPr>
          <w:rFonts w:ascii="仿宋" w:hAnsi="仿宋" w:eastAsia="仿宋"/>
          <w:bCs/>
          <w:sz w:val="32"/>
          <w:szCs w:val="32"/>
        </w:rPr>
        <w:t xml:space="preserve">条 </w:t>
      </w:r>
      <w:r>
        <w:rPr>
          <w:rFonts w:ascii="仿宋" w:hAnsi="仿宋" w:eastAsia="仿宋"/>
          <w:sz w:val="32"/>
          <w:szCs w:val="32"/>
        </w:rPr>
        <w:t>校内单位之间或单位内部发生合并、分立或重组等机构调整事项，应事先通过学校批准，并须办理资产整体移交手续。在资产移交手续未正式办妥前，原资产管理单位的仪器设备管理人员有责任全权管理和保护所有资产的安全和完整。机构变动后两周内，接收单位应重新指定仪器设备管理人员，并将名单报资产管理处，由资产管理处安排双方完成所有资产账、物交接工作。原单位仪器设备管理人员在与接收单位办妥资产交接手续后才能离开原资产管理岗位。</w:t>
      </w:r>
    </w:p>
    <w:p>
      <w:pPr>
        <w:snapToGrid w:val="0"/>
        <w:spacing w:after="120" w:line="520" w:lineRule="exact"/>
        <w:ind w:firstLine="646" w:firstLineChars="202"/>
        <w:jc w:val="left"/>
        <w:rPr>
          <w:rFonts w:ascii="仿宋" w:hAnsi="仿宋" w:eastAsia="仿宋"/>
          <w:sz w:val="32"/>
          <w:szCs w:val="32"/>
        </w:rPr>
      </w:pPr>
      <w:r>
        <w:rPr>
          <w:rFonts w:ascii="仿宋" w:hAnsi="仿宋" w:eastAsia="仿宋"/>
          <w:bCs/>
          <w:sz w:val="32"/>
          <w:szCs w:val="32"/>
        </w:rPr>
        <w:t>第</w:t>
      </w:r>
      <w:r>
        <w:rPr>
          <w:rFonts w:hint="eastAsia" w:ascii="仿宋" w:hAnsi="仿宋" w:eastAsia="仿宋"/>
          <w:bCs/>
          <w:sz w:val="32"/>
          <w:szCs w:val="32"/>
        </w:rPr>
        <w:t>六</w:t>
      </w:r>
      <w:r>
        <w:rPr>
          <w:rFonts w:ascii="仿宋" w:hAnsi="仿宋" w:eastAsia="仿宋"/>
          <w:bCs/>
          <w:sz w:val="32"/>
          <w:szCs w:val="32"/>
        </w:rPr>
        <w:t xml:space="preserve">条 </w:t>
      </w:r>
      <w:r>
        <w:rPr>
          <w:rFonts w:ascii="仿宋" w:hAnsi="仿宋" w:eastAsia="仿宋"/>
          <w:sz w:val="32"/>
          <w:szCs w:val="32"/>
        </w:rPr>
        <w:t>本规定由资产管理处负责解释，自发布之日起施行，原规定同时废止。</w:t>
      </w: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spacing w:line="460" w:lineRule="exact"/>
        <w:jc w:val="center"/>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page"/>
      </w:r>
    </w:p>
    <w:p>
      <w:pPr>
        <w:pStyle w:val="2"/>
        <w:ind w:left="840" w:leftChars="400" w:right="840" w:rightChars="400"/>
        <w:jc w:val="center"/>
        <w:rPr>
          <w:rFonts w:ascii="方正小标宋简体" w:eastAsia="方正小标宋简体"/>
          <w:b w:val="0"/>
          <w:sz w:val="44"/>
          <w:szCs w:val="44"/>
        </w:rPr>
      </w:pPr>
      <w:bookmarkStart w:id="31" w:name="_Toc85616714"/>
      <w:bookmarkStart w:id="32" w:name="_Toc525996908"/>
      <w:bookmarkStart w:id="33" w:name="_Toc392681329"/>
      <w:r>
        <w:rPr>
          <w:rFonts w:hint="eastAsia" w:ascii="方正小标宋简体" w:eastAsia="方正小标宋简体"/>
          <w:b w:val="0"/>
          <w:sz w:val="44"/>
          <w:szCs w:val="44"/>
        </w:rPr>
        <w:fldChar w:fldCharType="begin"/>
      </w:r>
      <w:r>
        <w:rPr>
          <w:rFonts w:hint="eastAsia" w:ascii="方正小标宋简体" w:eastAsia="方正小标宋简体"/>
          <w:b w:val="0"/>
          <w:sz w:val="44"/>
          <w:szCs w:val="44"/>
        </w:rPr>
        <w:instrText xml:space="preserve"> HYPERLINK  \l "_目__" </w:instrText>
      </w:r>
      <w:r>
        <w:rPr>
          <w:rFonts w:hint="eastAsia" w:ascii="方正小标宋简体" w:eastAsia="方正小标宋简体"/>
          <w:b w:val="0"/>
          <w:sz w:val="44"/>
          <w:szCs w:val="44"/>
        </w:rPr>
        <w:fldChar w:fldCharType="separate"/>
      </w:r>
      <w:r>
        <w:rPr>
          <w:rFonts w:hint="eastAsia" w:ascii="方正小标宋简体" w:eastAsia="方正小标宋简体"/>
          <w:b w:val="0"/>
          <w:sz w:val="44"/>
          <w:szCs w:val="44"/>
        </w:rPr>
        <w:t>长春大学旅游学院贵重仪器设备管理暂行办法</w:t>
      </w:r>
      <w:bookmarkEnd w:id="31"/>
      <w:bookmarkEnd w:id="32"/>
      <w:bookmarkEnd w:id="33"/>
      <w:r>
        <w:rPr>
          <w:rFonts w:hint="eastAsia" w:ascii="方正小标宋简体" w:eastAsia="方正小标宋简体"/>
          <w:b w:val="0"/>
          <w:sz w:val="44"/>
          <w:szCs w:val="44"/>
        </w:rPr>
        <w:fldChar w:fldCharType="end"/>
      </w:r>
    </w:p>
    <w:p>
      <w:pPr>
        <w:pStyle w:val="3"/>
        <w:spacing w:before="120" w:after="120"/>
        <w:jc w:val="center"/>
        <w:rPr>
          <w:b w:val="0"/>
          <w:bCs/>
        </w:rPr>
      </w:pPr>
      <w:r>
        <w:rPr>
          <w:rFonts w:hint="eastAsia"/>
          <w:b w:val="0"/>
          <w:bCs/>
        </w:rPr>
        <w:t>第一章  总 则</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第一条 </w:t>
      </w:r>
      <w:r>
        <w:rPr>
          <w:rFonts w:hint="eastAsia" w:ascii="仿宋" w:hAnsi="仿宋" w:eastAsia="仿宋" w:cs="宋体"/>
          <w:sz w:val="32"/>
          <w:szCs w:val="32"/>
        </w:rPr>
        <w:t>为了加强我校贵重仪器设备管理，更好地为教学、科研服务，根据《高等学校仪器设备管理办法》（教高</w:t>
      </w:r>
      <w:r>
        <w:rPr>
          <w:rFonts w:ascii="仿宋" w:hAnsi="仿宋" w:eastAsia="仿宋" w:cs="宋体"/>
          <w:sz w:val="32"/>
          <w:szCs w:val="32"/>
        </w:rPr>
        <w:t>[2000]9</w:t>
      </w:r>
      <w:r>
        <w:rPr>
          <w:rFonts w:hint="eastAsia" w:ascii="仿宋" w:hAnsi="仿宋" w:eastAsia="仿宋" w:cs="宋体"/>
          <w:sz w:val="32"/>
          <w:szCs w:val="32"/>
        </w:rPr>
        <w:t>号）的有关规定，结合我校实际情况，特制定本办法。</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第二条 </w:t>
      </w:r>
      <w:r>
        <w:rPr>
          <w:rFonts w:hint="eastAsia" w:ascii="仿宋" w:hAnsi="仿宋" w:eastAsia="仿宋" w:cs="宋体"/>
          <w:sz w:val="32"/>
          <w:szCs w:val="32"/>
        </w:rPr>
        <w:t>贵重仪器设备是各类实验室、实训室进行教学和科研的物质基础，它是构成学科、专业能力的重要因素，对提高教学质量、科研水平起着重要作用。</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第三条 </w:t>
      </w:r>
      <w:r>
        <w:rPr>
          <w:rFonts w:hint="eastAsia" w:ascii="仿宋" w:hAnsi="仿宋" w:eastAsia="仿宋" w:cs="宋体"/>
          <w:sz w:val="32"/>
          <w:szCs w:val="32"/>
        </w:rPr>
        <w:t>贵重仪器设备管理工作原则</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（一）贵重仪器设备的购置，要根据学校发展总体规划，坚持统筹兼顾、突出重点、择优支持、合理配置、发展特色的原则。</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二）贵重仪器设备的建设，要坚持全校统一规划、当前需要和长远需要相结合的原则，避免重复购置。凡工作量不大，能通过协作解决的，一般不予购置；凡“中档”设备能解决的，一般不购置“高档”设备；凡国内产品技术指标能满足使用要求的，一般不进口国外产品。</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（三）贵重仪器设备实行专管共用、资源共享的原则，以充分发挥仪器设备的效能。</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（四）为保证贵重仪器设备的规范管理和有效使用，必须配备专业技术管理人员，并要保持相对稳定。</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第四条 </w:t>
      </w:r>
      <w:r>
        <w:rPr>
          <w:rFonts w:hint="eastAsia" w:ascii="仿宋" w:hAnsi="仿宋" w:eastAsia="仿宋" w:cs="宋体"/>
          <w:sz w:val="32"/>
          <w:szCs w:val="32"/>
        </w:rPr>
        <w:t>贵重仪器设备的界定</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（一）单价在人民币</w:t>
      </w:r>
      <w:r>
        <w:rPr>
          <w:rFonts w:ascii="仿宋" w:hAnsi="仿宋" w:eastAsia="仿宋" w:cs="宋体"/>
          <w:sz w:val="32"/>
          <w:szCs w:val="32"/>
        </w:rPr>
        <w:t>10</w:t>
      </w:r>
      <w:r>
        <w:rPr>
          <w:rFonts w:hint="eastAsia" w:ascii="仿宋" w:hAnsi="仿宋" w:eastAsia="仿宋" w:cs="宋体"/>
          <w:sz w:val="32"/>
          <w:szCs w:val="32"/>
        </w:rPr>
        <w:t>万元（含</w:t>
      </w:r>
      <w:r>
        <w:rPr>
          <w:rFonts w:ascii="仿宋" w:hAnsi="仿宋" w:eastAsia="仿宋" w:cs="宋体"/>
          <w:sz w:val="32"/>
          <w:szCs w:val="32"/>
        </w:rPr>
        <w:t>10</w:t>
      </w:r>
      <w:r>
        <w:rPr>
          <w:rFonts w:hint="eastAsia" w:ascii="仿宋" w:hAnsi="仿宋" w:eastAsia="仿宋" w:cs="宋体"/>
          <w:sz w:val="32"/>
          <w:szCs w:val="32"/>
        </w:rPr>
        <w:t>万元）以上的教学、科研仪器设备；</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（二）单台（件）价格不足</w:t>
      </w:r>
      <w:r>
        <w:rPr>
          <w:rFonts w:ascii="仿宋" w:hAnsi="仿宋" w:eastAsia="仿宋" w:cs="宋体"/>
          <w:sz w:val="32"/>
          <w:szCs w:val="32"/>
        </w:rPr>
        <w:t>10</w:t>
      </w:r>
      <w:r>
        <w:rPr>
          <w:rFonts w:hint="eastAsia" w:ascii="仿宋" w:hAnsi="仿宋" w:eastAsia="仿宋" w:cs="宋体"/>
          <w:sz w:val="32"/>
          <w:szCs w:val="32"/>
        </w:rPr>
        <w:t>万元，但属成套使用的、整套价格超过人民币</w:t>
      </w:r>
      <w:r>
        <w:rPr>
          <w:rFonts w:ascii="仿宋" w:hAnsi="仿宋" w:eastAsia="仿宋" w:cs="宋体"/>
          <w:sz w:val="32"/>
          <w:szCs w:val="32"/>
        </w:rPr>
        <w:t>10</w:t>
      </w:r>
      <w:r>
        <w:rPr>
          <w:rFonts w:hint="eastAsia" w:ascii="仿宋" w:hAnsi="仿宋" w:eastAsia="仿宋" w:cs="宋体"/>
          <w:sz w:val="32"/>
          <w:szCs w:val="32"/>
        </w:rPr>
        <w:t>万元的仪器设备（含软件）。</w:t>
      </w:r>
    </w:p>
    <w:p>
      <w:pPr>
        <w:pStyle w:val="3"/>
        <w:spacing w:before="120" w:after="120"/>
        <w:jc w:val="center"/>
        <w:rPr>
          <w:b w:val="0"/>
          <w:bCs/>
        </w:rPr>
      </w:pPr>
      <w:r>
        <w:rPr>
          <w:rFonts w:hint="eastAsia"/>
          <w:b w:val="0"/>
          <w:bCs/>
        </w:rPr>
        <w:t>第二章  贵重仪器设备的购置</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第五条 </w:t>
      </w:r>
      <w:r>
        <w:rPr>
          <w:rFonts w:hint="eastAsia" w:ascii="仿宋" w:hAnsi="仿宋" w:eastAsia="仿宋" w:cs="宋体"/>
          <w:sz w:val="32"/>
          <w:szCs w:val="32"/>
        </w:rPr>
        <w:t>根据学校发展建设的需要，经充分考查研究，确认具备购置条件。主要包括：安装场地及配套能力；使用、保养、维修技术能力；承担的工作任务及工作量。申购须经申购单位组织相关专家进行可行性论证，并提交《长春大学旅游学院贵重仪器设备购置可行性报告》，由学校相关职能部门负责汇总审查，组织校内外相关专家论证，并按项目的不同，报主管校领导和学校批准。</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第六条 </w:t>
      </w:r>
      <w:r>
        <w:rPr>
          <w:rFonts w:hint="eastAsia" w:ascii="仿宋" w:hAnsi="仿宋" w:eastAsia="仿宋" w:cs="宋体"/>
          <w:sz w:val="32"/>
          <w:szCs w:val="32"/>
        </w:rPr>
        <w:t>贵重仪器设备的购置申请一经批准，不得随意变动。如确需变动，必须提出报告，报经主管校领导和学校批准，方可实施。</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第七条 </w:t>
      </w:r>
      <w:r>
        <w:rPr>
          <w:rFonts w:hint="eastAsia" w:ascii="仿宋" w:hAnsi="仿宋" w:eastAsia="仿宋" w:cs="宋体"/>
          <w:sz w:val="32"/>
          <w:szCs w:val="32"/>
        </w:rPr>
        <w:t>订货合同签订后，申购单位要根据仪器设备的要求，做好接货、安装验收、操作维护及管理、使用人员的培训等一系列准备工作，以确保仪器设备的及时安装、调试和尽早安全投入使用。</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第八条 </w:t>
      </w:r>
      <w:r>
        <w:rPr>
          <w:rFonts w:hint="eastAsia" w:ascii="仿宋" w:hAnsi="仿宋" w:eastAsia="仿宋" w:cs="宋体"/>
          <w:sz w:val="32"/>
          <w:szCs w:val="32"/>
        </w:rPr>
        <w:t>验收工作是保证仪器设备质量、日后正常运转和充分发挥效益的关键环节，必须认真检查检验仪器设备是否达到标准或合同规定的技术性能和技术指标。</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第九条 </w:t>
      </w:r>
      <w:r>
        <w:rPr>
          <w:rFonts w:hint="eastAsia" w:ascii="仿宋" w:hAnsi="仿宋" w:eastAsia="仿宋" w:cs="宋体"/>
          <w:sz w:val="32"/>
          <w:szCs w:val="32"/>
        </w:rPr>
        <w:t>验收工作由资产管理处组织，与使用单位共同进行。要成立有关专家、技术人员、管理人员共同组成的验收小组。若校内技术力量不足，可聘校外专家、内行技术人员进行协助验收。</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第十条 </w:t>
      </w:r>
      <w:r>
        <w:rPr>
          <w:rFonts w:hint="eastAsia" w:ascii="仿宋" w:hAnsi="仿宋" w:eastAsia="仿宋" w:cs="宋体"/>
          <w:sz w:val="32"/>
          <w:szCs w:val="32"/>
        </w:rPr>
        <w:t>验收小组要制定验收方案，落实验收前的一切准备工作，并负责技术验收的全过程。要认真填写验收报告单，并由资产管理处进行存档。</w:t>
      </w:r>
    </w:p>
    <w:p>
      <w:pPr>
        <w:spacing w:line="560" w:lineRule="exact"/>
        <w:ind w:firstLine="640" w:firstLineChars="200"/>
        <w:rPr>
          <w:rFonts w:ascii="仿宋" w:hAnsi="仿宋" w:eastAsia="仿宋" w:cs="宋体"/>
          <w:sz w:val="32"/>
          <w:szCs w:val="32"/>
        </w:rPr>
      </w:pPr>
      <w:r>
        <w:rPr>
          <w:rFonts w:hint="eastAsia" w:ascii="仿宋" w:hAnsi="仿宋" w:eastAsia="仿宋"/>
          <w:sz w:val="32"/>
          <w:szCs w:val="32"/>
        </w:rPr>
        <w:t xml:space="preserve">第十一条 </w:t>
      </w:r>
      <w:r>
        <w:rPr>
          <w:rFonts w:hint="eastAsia" w:ascii="仿宋" w:hAnsi="仿宋" w:eastAsia="仿宋" w:cs="宋体"/>
          <w:sz w:val="32"/>
          <w:szCs w:val="32"/>
        </w:rPr>
        <w:t>验收工作程序</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货到后，要及时开箱进行实物外观验收，包括：包装、实物表面有无损伤、锈蚀、受潮、霉变等，如果存在上述问题，应进行拍照或录像留存。然后根据合同和装箱单清点主机及零配数量，并认真填写验收记录。</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（二）阅读掌握有关技术资料。</w:t>
      </w:r>
    </w:p>
    <w:p>
      <w:pPr>
        <w:spacing w:line="560" w:lineRule="exact"/>
        <w:ind w:firstLine="640" w:firstLineChars="200"/>
        <w:rPr>
          <w:rFonts w:ascii="黑体" w:hAnsi="黑体" w:eastAsia="黑体" w:cs="宋体"/>
          <w:sz w:val="32"/>
          <w:szCs w:val="32"/>
        </w:rPr>
      </w:pPr>
      <w:r>
        <w:rPr>
          <w:rFonts w:hint="eastAsia" w:ascii="仿宋" w:hAnsi="仿宋" w:eastAsia="仿宋" w:cs="宋体"/>
          <w:sz w:val="32"/>
          <w:szCs w:val="32"/>
        </w:rPr>
        <w:t>（三）仪器安装、调试、检查仪器的质量，要严格按照操作规程和操作条款进行测试，要对照合同规定的技术指标和产品出厂的技术指标（产品说明书规定的技术指标），专项验收仪器设备的功能，考核仪器设备运行的稳定性和可靠性，确认仪器设备的质量，并及时开出验收报告和试用的报告。</w:t>
      </w:r>
    </w:p>
    <w:p>
      <w:pPr>
        <w:pStyle w:val="3"/>
        <w:spacing w:before="120" w:after="120"/>
        <w:jc w:val="center"/>
        <w:rPr>
          <w:b w:val="0"/>
          <w:bCs/>
        </w:rPr>
      </w:pPr>
      <w:r>
        <w:rPr>
          <w:rFonts w:hint="eastAsia"/>
          <w:b w:val="0"/>
          <w:bCs/>
        </w:rPr>
        <w:t>第三章  贵重仪器设备的使用管理</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第十二条 </w:t>
      </w:r>
      <w:r>
        <w:rPr>
          <w:rFonts w:hint="eastAsia" w:ascii="仿宋" w:hAnsi="仿宋" w:eastAsia="仿宋" w:cs="宋体"/>
          <w:sz w:val="32"/>
          <w:szCs w:val="32"/>
        </w:rPr>
        <w:t>贵重仪器设备不论是何种经费购置的，均要实行专管共用共享的原则，为全校教学、科研服务。</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第十三条 </w:t>
      </w:r>
      <w:r>
        <w:rPr>
          <w:rFonts w:hint="eastAsia" w:ascii="仿宋" w:hAnsi="仿宋" w:eastAsia="仿宋" w:cs="宋体"/>
          <w:sz w:val="32"/>
          <w:szCs w:val="32"/>
        </w:rPr>
        <w:t>贵重仪器设备使用部门，要制定具体操作规程，设专人管理，保证设备的正确使用和安全运行。管理人员必须认真履行职责，对所管仪器设备应熟悉其机构、性能，精通操作流程并能承担一般保养维修、技术培训等任务。管理人员要保持相对稳定，如确因工作需要调换时，要做好接替人员的培训和交接工作。</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第十四条 </w:t>
      </w:r>
      <w:r>
        <w:rPr>
          <w:rFonts w:hint="eastAsia" w:ascii="仿宋" w:hAnsi="仿宋" w:eastAsia="仿宋" w:cs="宋体"/>
          <w:sz w:val="32"/>
          <w:szCs w:val="32"/>
        </w:rPr>
        <w:t>要建立完整的贵重仪器设备技术档案。所有原始资料存档，使用单位留存副本。</w:t>
      </w:r>
    </w:p>
    <w:p>
      <w:pPr>
        <w:spacing w:line="544" w:lineRule="exact"/>
        <w:ind w:firstLine="640" w:firstLineChars="200"/>
        <w:rPr>
          <w:rFonts w:ascii="仿宋" w:hAnsi="仿宋" w:eastAsia="仿宋" w:cs="宋体"/>
          <w:sz w:val="32"/>
          <w:szCs w:val="32"/>
        </w:rPr>
      </w:pPr>
      <w:r>
        <w:rPr>
          <w:rFonts w:hint="eastAsia" w:ascii="仿宋" w:hAnsi="仿宋" w:eastAsia="仿宋" w:cs="宋体"/>
          <w:sz w:val="32"/>
          <w:szCs w:val="32"/>
        </w:rPr>
        <w:t>存档内容包括：贵重仪器设备购置的可行性论证报告和学校的批示意见、招标工作记录、订货合同、原始资料（使用说明书、资料图纸）。</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第十五条 </w:t>
      </w:r>
      <w:r>
        <w:rPr>
          <w:rFonts w:hint="eastAsia" w:ascii="仿宋" w:hAnsi="仿宋" w:eastAsia="仿宋" w:cs="宋体"/>
          <w:sz w:val="32"/>
          <w:szCs w:val="32"/>
        </w:rPr>
        <w:t>要根据仪器设备不同性能要求做好：防火、防潮、防锈、防尘、防光、防热、防冻、防振、防辐射、防腐蚀等工作，确保仪器设备随时处于良好状态。</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第十六条 </w:t>
      </w:r>
      <w:r>
        <w:rPr>
          <w:rFonts w:hint="eastAsia" w:ascii="仿宋" w:hAnsi="仿宋" w:eastAsia="仿宋" w:cs="宋体"/>
          <w:sz w:val="32"/>
          <w:szCs w:val="32"/>
        </w:rPr>
        <w:t>贵重仪器设备对外概不出借。不准擅自拆改或解体使用，确因开发新功能、研制新产品或特殊需要而必须改造时，应按照学校有关规定申报，经审核批准后方可进行。</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第十七条 </w:t>
      </w:r>
      <w:r>
        <w:rPr>
          <w:rFonts w:hint="eastAsia" w:ascii="仿宋" w:hAnsi="仿宋" w:eastAsia="仿宋" w:cs="宋体"/>
          <w:sz w:val="32"/>
          <w:szCs w:val="32"/>
        </w:rPr>
        <w:t>对闲置不用或长期使用率很低的贵重仪器设备，学校资产管理处有权提出调拨处理意见，报主管校领导批准，及时调拨使用，以发挥设备效益，避免造成资源浪费。</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第十八条 </w:t>
      </w:r>
      <w:r>
        <w:rPr>
          <w:rFonts w:hint="eastAsia" w:ascii="仿宋" w:hAnsi="仿宋" w:eastAsia="仿宋" w:cs="宋体"/>
          <w:sz w:val="32"/>
          <w:szCs w:val="32"/>
        </w:rPr>
        <w:t>对贵重仪器设备的报损、报废要严格把关。应由学校相关部门提出意见，经资产管理处组织相关专家进行技术鉴定和经济评价，报经主管校领导和学校审核批准后执行。</w:t>
      </w:r>
    </w:p>
    <w:p>
      <w:pPr>
        <w:pStyle w:val="3"/>
        <w:spacing w:before="120" w:after="120"/>
        <w:jc w:val="center"/>
        <w:rPr>
          <w:b w:val="0"/>
          <w:bCs/>
        </w:rPr>
      </w:pPr>
      <w:r>
        <w:rPr>
          <w:rFonts w:hint="eastAsia"/>
          <w:b w:val="0"/>
          <w:bCs/>
        </w:rPr>
        <w:t>第四章  附 则</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第十九条 </w:t>
      </w:r>
      <w:r>
        <w:rPr>
          <w:rFonts w:hint="eastAsia" w:ascii="仿宋" w:hAnsi="仿宋" w:eastAsia="仿宋" w:cs="宋体"/>
          <w:sz w:val="32"/>
          <w:szCs w:val="32"/>
        </w:rPr>
        <w:t>本办法由资产管理处负责解释。</w:t>
      </w:r>
    </w:p>
    <w:p>
      <w:pPr>
        <w:spacing w:line="544" w:lineRule="exact"/>
        <w:ind w:firstLine="640" w:firstLineChars="200"/>
        <w:rPr>
          <w:rFonts w:ascii="仿宋" w:hAnsi="仿宋" w:eastAsia="仿宋" w:cs="宋体"/>
          <w:sz w:val="32"/>
          <w:szCs w:val="32"/>
        </w:rPr>
      </w:pPr>
      <w:r>
        <w:rPr>
          <w:rFonts w:hint="eastAsia" w:ascii="仿宋" w:hAnsi="仿宋" w:eastAsia="仿宋"/>
          <w:sz w:val="32"/>
          <w:szCs w:val="32"/>
        </w:rPr>
        <w:t xml:space="preserve">第二十条 </w:t>
      </w:r>
      <w:r>
        <w:rPr>
          <w:rFonts w:hint="eastAsia" w:ascii="仿宋" w:hAnsi="仿宋" w:eastAsia="仿宋" w:cs="宋体"/>
          <w:sz w:val="32"/>
          <w:szCs w:val="32"/>
        </w:rPr>
        <w:t>本办法自颁布之日起施行。</w:t>
      </w:r>
      <w:r>
        <w:rPr>
          <w:rFonts w:ascii="仿宋" w:hAnsi="仿宋" w:eastAsia="仿宋" w:cs="宋体"/>
          <w:sz w:val="32"/>
          <w:szCs w:val="32"/>
        </w:rPr>
        <w:br w:type="page"/>
      </w:r>
      <w:bookmarkStart w:id="34" w:name="_Toc525996914"/>
    </w:p>
    <w:p>
      <w:pPr>
        <w:pStyle w:val="2"/>
        <w:ind w:left="840" w:leftChars="400" w:right="840" w:rightChars="400"/>
        <w:jc w:val="center"/>
        <w:rPr>
          <w:rFonts w:ascii="方正小标宋简体" w:eastAsia="方正小标宋简体"/>
          <w:b w:val="0"/>
          <w:sz w:val="44"/>
          <w:szCs w:val="44"/>
        </w:rPr>
      </w:pPr>
      <w:bookmarkStart w:id="35" w:name="_Toc85616715"/>
      <w:r>
        <w:rPr>
          <w:rFonts w:hint="eastAsia" w:ascii="方正小标宋简体" w:eastAsia="方正小标宋简体"/>
          <w:b w:val="0"/>
          <w:sz w:val="44"/>
          <w:szCs w:val="44"/>
        </w:rPr>
        <w:fldChar w:fldCharType="begin"/>
      </w:r>
      <w:r>
        <w:rPr>
          <w:rFonts w:hint="eastAsia" w:ascii="方正小标宋简体" w:eastAsia="方正小标宋简体"/>
          <w:b w:val="0"/>
          <w:sz w:val="44"/>
          <w:szCs w:val="44"/>
        </w:rPr>
        <w:instrText xml:space="preserve"> HYPERLINK  \l "_目__" </w:instrText>
      </w:r>
      <w:r>
        <w:rPr>
          <w:rFonts w:hint="eastAsia" w:ascii="方正小标宋简体" w:eastAsia="方正小标宋简体"/>
          <w:b w:val="0"/>
          <w:sz w:val="44"/>
          <w:szCs w:val="44"/>
        </w:rPr>
        <w:fldChar w:fldCharType="separate"/>
      </w:r>
      <w:r>
        <w:rPr>
          <w:rFonts w:hint="eastAsia" w:ascii="方正小标宋简体" w:eastAsia="方正小标宋简体"/>
          <w:b w:val="0"/>
          <w:sz w:val="44"/>
          <w:szCs w:val="44"/>
        </w:rPr>
        <w:t>长春大学旅游学院毒品、剧毒品及易制毒化学品管理暂行办法</w:t>
      </w:r>
      <w:bookmarkEnd w:id="34"/>
      <w:bookmarkEnd w:id="35"/>
      <w:r>
        <w:rPr>
          <w:rFonts w:hint="eastAsia" w:ascii="方正小标宋简体" w:eastAsia="方正小标宋简体"/>
          <w:b w:val="0"/>
          <w:sz w:val="44"/>
          <w:szCs w:val="44"/>
        </w:rPr>
        <w:fldChar w:fldCharType="end"/>
      </w:r>
    </w:p>
    <w:p>
      <w:pPr>
        <w:pStyle w:val="3"/>
        <w:spacing w:before="200" w:after="200"/>
        <w:jc w:val="center"/>
        <w:rPr>
          <w:b w:val="0"/>
          <w:bCs/>
        </w:rPr>
      </w:pPr>
      <w:r>
        <w:rPr>
          <w:rFonts w:hint="eastAsia"/>
          <w:b w:val="0"/>
          <w:bCs/>
        </w:rPr>
        <w:t>第一章  总 则</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第一条 为了加强学校教学、实验用毒品、剧毒品及易制毒化学品安全管理，保证教学、实验的顺利进行，保障师生的生命财产安全，保护环境，根据中华人民共和国《毒品、剧毒品及易制毒化学品管理条例》等有关规定制定本管理办法。</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第二条 毒品、剧毒品及易制毒化学品的申购必须严格遵循教学、科研课题、实验大纲的要求有计划地进行，申购时需详细写明名称（化学名）、规格、单位、数量，并标明“毒品、剧毒品及易制毒”等字样，在具备毒品、剧毒品及易制毒化学品销售资质的供应商处购买，然后直接发放，资产管理处不备库存。</w:t>
      </w:r>
    </w:p>
    <w:p>
      <w:pPr>
        <w:pStyle w:val="3"/>
        <w:spacing w:before="200" w:after="200"/>
        <w:jc w:val="center"/>
        <w:rPr>
          <w:b w:val="0"/>
          <w:bCs/>
        </w:rPr>
      </w:pPr>
      <w:r>
        <w:rPr>
          <w:rFonts w:hint="eastAsia"/>
          <w:b w:val="0"/>
          <w:bCs/>
        </w:rPr>
        <w:t xml:space="preserve"> 第二章  使用管理</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第三条 使用单位的毒品、剧毒品及易制毒化学品需由具有一定专业知识的专人管理，建立二级台帐，帐目清晰、准确，资产管理处将不定期检查。经常对毒品、剧毒品及易制毒化学品进行实物、台帐的盘点与核对，发现毒品、剧毒品及易制毒化学品丢失、被盗或安全事故隐患时，应及时报告资产管理处、教务处、安全处等有关部门。</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第四条 毒品、剧毒品及易制毒化学品应妥善存储，并根据其种类、性质设置相应的通风、防火、防爆、防毒、泄压、避雷、监测、报警、灭火、降温、防潮、防静电、防放射等安全设施。</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第五条 在运输、搬运毒品、剧毒品及易制毒化学品过程中，要严格区分毒品、剧毒品及易制毒化学品的种类及物理、化学特性，并遵守以下规定：</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（一）轻拿轻放，防止撞击、拖拉和倾倒。</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（二）碰撞、互相接触容易引起燃烧、爆炸或造成其他危险的物品，以及性质、防护、灭火方法互相抵触的毒品、剧毒品及易制毒化学品，不得违反配装限制和混合装运。</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第六条 任何单位和个人不得私自向校内、外借用、接受赠送或转让毒品、剧毒品及易制毒化学品。如发生上述情况，将查找责任人，按照国家有关法律、法规追究责任。</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第七条 毒品、剧毒品及易制毒化学品只可用于教学、实验，不得用于其他非法用途。违者将按国家有关法律、法规承担责任。</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第八条 毒品、剧毒品及易制毒化学品的报废及其盛装容器的处理时，要注明报废、销毁的理由，经使用教师、实验室主任及学院院长签字，报资产管理处备案后，按规定科学处置，任何单位和个人不得擅自处理。</w:t>
      </w:r>
    </w:p>
    <w:p>
      <w:pPr>
        <w:pStyle w:val="3"/>
        <w:spacing w:before="200" w:after="200"/>
        <w:jc w:val="center"/>
        <w:rPr>
          <w:b w:val="0"/>
          <w:bCs/>
        </w:rPr>
      </w:pPr>
      <w:r>
        <w:rPr>
          <w:rFonts w:hint="eastAsia"/>
          <w:b w:val="0"/>
          <w:bCs/>
        </w:rPr>
        <w:t>第三章  附 则</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第九条 本办法由资产管理处负责解释。</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第十条 本办法自颁布之日起施行。</w:t>
      </w:r>
    </w:p>
    <w:p>
      <w:pPr>
        <w:pStyle w:val="2"/>
        <w:spacing w:line="740" w:lineRule="exact"/>
        <w:jc w:val="center"/>
        <w:rPr>
          <w:rFonts w:ascii="方正小标宋简体" w:hAnsi="仿宋" w:eastAsia="方正小标宋简体"/>
          <w:b w:val="0"/>
          <w:color w:val="auto"/>
          <w:kern w:val="2"/>
          <w:sz w:val="44"/>
          <w:szCs w:val="44"/>
        </w:rPr>
      </w:pPr>
      <w:r>
        <w:rPr>
          <w:rFonts w:ascii="仿宋" w:hAnsi="仿宋" w:eastAsia="仿宋"/>
          <w:b w:val="0"/>
          <w:color w:val="auto"/>
          <w:sz w:val="32"/>
          <w:szCs w:val="32"/>
        </w:rPr>
        <w:br w:type="page"/>
      </w:r>
      <w:bookmarkStart w:id="36" w:name="_Toc525996915"/>
      <w:bookmarkStart w:id="37" w:name="_Toc85616716"/>
      <w:r>
        <w:rPr>
          <w:rFonts w:ascii="方正小标宋简体" w:hAnsi="仿宋" w:eastAsia="方正小标宋简体"/>
          <w:b w:val="0"/>
          <w:color w:val="auto"/>
          <w:kern w:val="2"/>
          <w:sz w:val="44"/>
          <w:szCs w:val="44"/>
        </w:rPr>
        <w:fldChar w:fldCharType="begin"/>
      </w:r>
      <w:r>
        <w:rPr>
          <w:rFonts w:ascii="方正小标宋简体" w:hAnsi="仿宋" w:eastAsia="方正小标宋简体"/>
          <w:b w:val="0"/>
          <w:color w:val="auto"/>
          <w:kern w:val="2"/>
          <w:sz w:val="44"/>
          <w:szCs w:val="44"/>
        </w:rPr>
        <w:instrText xml:space="preserve"> HYPERLINK  \l "_目__" </w:instrText>
      </w:r>
      <w:r>
        <w:rPr>
          <w:rFonts w:ascii="方正小标宋简体" w:hAnsi="仿宋" w:eastAsia="方正小标宋简体"/>
          <w:b w:val="0"/>
          <w:color w:val="auto"/>
          <w:kern w:val="2"/>
          <w:sz w:val="44"/>
          <w:szCs w:val="44"/>
        </w:rPr>
        <w:fldChar w:fldCharType="separate"/>
      </w:r>
      <w:r>
        <w:rPr>
          <w:rStyle w:val="16"/>
          <w:rFonts w:hint="eastAsia" w:ascii="方正小标宋简体" w:hAnsi="仿宋" w:eastAsia="方正小标宋简体"/>
          <w:b w:val="0"/>
          <w:color w:val="auto"/>
          <w:kern w:val="2"/>
          <w:sz w:val="44"/>
          <w:szCs w:val="44"/>
          <w:u w:val="none"/>
        </w:rPr>
        <w:t>长春大学旅游学院库房安全管理暂行办法</w:t>
      </w:r>
      <w:bookmarkEnd w:id="36"/>
      <w:bookmarkEnd w:id="37"/>
      <w:r>
        <w:rPr>
          <w:rFonts w:ascii="方正小标宋简体" w:hAnsi="仿宋" w:eastAsia="方正小标宋简体"/>
          <w:b w:val="0"/>
          <w:color w:val="auto"/>
          <w:kern w:val="2"/>
          <w:sz w:val="44"/>
          <w:szCs w:val="44"/>
        </w:rPr>
        <w:fldChar w:fldCharType="end"/>
      </w:r>
    </w:p>
    <w:p>
      <w:pPr>
        <w:rPr>
          <w:rFonts w:ascii="仿宋" w:hAnsi="仿宋" w:eastAsia="仿宋"/>
          <w:sz w:val="32"/>
          <w:szCs w:val="32"/>
        </w:rPr>
      </w:pP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第一条 为实现学校库房的安全管理，确保库存和人员安全，特制订本办法。</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第二条 库房安全防火，要坚持“预防为主，防消结合”的原则，要做到无火灾、无失盗等。</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第三条 库房内禁止吸烟，禁止使用明火，不得随意乱接电源线，严禁使用电器设备，库房内要保持通道通畅。</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第四条 非资产管理人员未经允许一律不得进入库房。</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第五条 资产管理员要了解本库物资的物理、化学性能，对易碎、易潮、易溶化的物资要特别保护。</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第六条 资产管理员要随时关闭水、暖、电源的开关，锁好门窗，消除一切不安全隐患，如发现库房内有被盗迹象，要保护现场，并尽快通知安全处处理。</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第七条 库房所备消防设施器材，不得乱动或挪作它用，周围不许堆放任何物品，并经常检查，使之保持有效状态。若有不能正常使用，报安全处更换或修理。</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第八条 资产管理员应熟记火灾报警电话，按规定程序报警，熟知灭火器材的属性，并能正确地使用灭火器材。</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第九条 成立安全防范工作小组。组长：尹方波，组员：魏薇、勾微微。其职责为定期安全检查、发现问题及时采取整改措施。</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第十条 如有七天及以上的假期前应由安全防范工作小组对库房安全进行防火、防盗、防水等设施检查，并形成检查记录。</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第十一条 本办法主要指学校资产库房，其它各单位具有库房性质的仓库的管理参照本办法执行。</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第十二条 本规定由资产管理处负责解释。</w:t>
      </w:r>
    </w:p>
    <w:p>
      <w:pPr>
        <w:widowControl/>
        <w:jc w:val="left"/>
        <w:rPr>
          <w:rFonts w:ascii="仿宋" w:hAnsi="仿宋" w:eastAsia="仿宋"/>
          <w:sz w:val="32"/>
          <w:szCs w:val="32"/>
        </w:rPr>
      </w:pPr>
      <w:r>
        <w:rPr>
          <w:rFonts w:ascii="仿宋" w:hAnsi="仿宋" w:eastAsia="仿宋"/>
          <w:sz w:val="32"/>
          <w:szCs w:val="32"/>
        </w:rPr>
        <w:br w:type="page"/>
      </w:r>
    </w:p>
    <w:p>
      <w:pPr>
        <w:pStyle w:val="2"/>
        <w:spacing w:line="740" w:lineRule="exact"/>
        <w:ind w:left="840" w:leftChars="400" w:right="840" w:rightChars="400"/>
        <w:jc w:val="center"/>
        <w:rPr>
          <w:rFonts w:ascii="方正小标宋简体" w:hAnsi="仿宋" w:eastAsia="方正小标宋简体"/>
          <w:b w:val="0"/>
          <w:color w:val="auto"/>
          <w:sz w:val="44"/>
          <w:szCs w:val="44"/>
        </w:rPr>
      </w:pPr>
      <w:bookmarkStart w:id="38" w:name="_Toc85616717"/>
      <w:bookmarkStart w:id="39" w:name="_Toc525996916"/>
      <w:bookmarkStart w:id="40" w:name="_Toc405358249"/>
      <w:r>
        <w:rPr>
          <w:rFonts w:ascii="方正小标宋简体" w:hAnsi="仿宋" w:eastAsia="方正小标宋简体"/>
          <w:b w:val="0"/>
          <w:color w:val="auto"/>
          <w:kern w:val="2"/>
          <w:sz w:val="44"/>
          <w:szCs w:val="44"/>
        </w:rPr>
        <w:fldChar w:fldCharType="begin"/>
      </w:r>
      <w:r>
        <w:rPr>
          <w:rFonts w:ascii="方正小标宋简体" w:hAnsi="仿宋" w:eastAsia="方正小标宋简体"/>
          <w:b w:val="0"/>
          <w:color w:val="auto"/>
          <w:kern w:val="2"/>
          <w:sz w:val="44"/>
          <w:szCs w:val="44"/>
        </w:rPr>
        <w:instrText xml:space="preserve"> HYPERLINK  \l "_目__" </w:instrText>
      </w:r>
      <w:r>
        <w:rPr>
          <w:rFonts w:ascii="方正小标宋简体" w:hAnsi="仿宋" w:eastAsia="方正小标宋简体"/>
          <w:b w:val="0"/>
          <w:color w:val="auto"/>
          <w:kern w:val="2"/>
          <w:sz w:val="44"/>
          <w:szCs w:val="44"/>
        </w:rPr>
        <w:fldChar w:fldCharType="separate"/>
      </w:r>
      <w:r>
        <w:rPr>
          <w:rStyle w:val="16"/>
          <w:rFonts w:hint="eastAsia" w:ascii="方正小标宋简体" w:hAnsi="仿宋" w:eastAsia="方正小标宋简体"/>
          <w:b w:val="0"/>
          <w:color w:val="auto"/>
          <w:kern w:val="2"/>
          <w:sz w:val="44"/>
          <w:szCs w:val="44"/>
          <w:u w:val="none"/>
        </w:rPr>
        <w:t>长春大学旅游学院兼职资产管理员工作暂行规定</w:t>
      </w:r>
      <w:bookmarkEnd w:id="38"/>
      <w:bookmarkEnd w:id="39"/>
      <w:bookmarkEnd w:id="40"/>
      <w:r>
        <w:rPr>
          <w:rFonts w:ascii="方正小标宋简体" w:hAnsi="仿宋" w:eastAsia="方正小标宋简体"/>
          <w:b w:val="0"/>
          <w:color w:val="auto"/>
          <w:kern w:val="2"/>
          <w:sz w:val="44"/>
          <w:szCs w:val="44"/>
        </w:rPr>
        <w:fldChar w:fldCharType="end"/>
      </w:r>
    </w:p>
    <w:p>
      <w:pPr>
        <w:rPr>
          <w:rFonts w:ascii="仿宋" w:hAnsi="仿宋" w:eastAsia="仿宋"/>
          <w:sz w:val="32"/>
          <w:szCs w:val="32"/>
        </w:rPr>
      </w:pP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第一条 为了加强学校资产管理，提高兼职资产管理员责任意识与管理水平，规范各单位资产管理工作，特制定本管理规定。</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第二条 各学院、单位原则上配备兼职资产管理员一名，由所在学院、单位确定。</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第三条 兼职资产管理员协助资产管理处管理学校的固定资产、低值耐耗品及低值易耗品，在资产管理工作中接受资产管理处的业务指导。</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第四条 兼职资产管理员负责本单位资产管理，并协调本单位与资产管理处之间的工作联系，其具体职责如下：</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（一）兼职资产管理员应认真执行学校有关资产管理工作的文件和要求，积极做好资产管理的各项工作。</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（二）熟悉本单位资产账物，指导本单位人员处理资产申请、查询、移交、维修申请及调拨等工作。</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（三）对本单位资产定期进行核查，做到账物相符；兼职资产管理员要定期对仪器设备、家具及耗材的使用情况进行核查。</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（四）各单位兼职资产管理员负责督促本单位设备人员和保管人员按时对仪器设备进行检查、检修及维护保养；配合资产管理处完成仪器设备使用效率的评价工作。</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（五）配合资产管理处做好本单位的资产接收、验收工作，督促、检查保管人做好资产条形码的粘贴工作。</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（六）负责本单位闲置资产的登记和统计工作；在资产管理处的指导下，对闲置资产进行合理调剂，并做好相关登记变更工作。</w:t>
      </w:r>
    </w:p>
    <w:p>
      <w:pPr>
        <w:spacing w:line="520" w:lineRule="exact"/>
        <w:ind w:firstLine="480" w:firstLineChars="150"/>
        <w:rPr>
          <w:rFonts w:ascii="仿宋" w:hAnsi="仿宋" w:eastAsia="仿宋"/>
          <w:sz w:val="32"/>
          <w:szCs w:val="32"/>
        </w:rPr>
      </w:pPr>
      <w:r>
        <w:rPr>
          <w:rFonts w:hint="eastAsia" w:ascii="仿宋" w:hAnsi="仿宋" w:eastAsia="仿宋"/>
          <w:sz w:val="32"/>
          <w:szCs w:val="32"/>
        </w:rPr>
        <w:t>（七）凡需报废的资产，兼职资产管理员应配合学校有关人员进行报废资产的鉴定审查工作，并协助资产管理处做好报废资产的回收工作；严禁任何人以任何理由擅自处理报废资产，报废资产需保持完整，不得擅自拆卸。</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（八）单位人员变动或机构调整时，兼职资产管理员应及时组织和监管资产的清查移交工作，防止出现管理真空，造成资产流失。</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第五条 兼职资产管理员发生变更时，由本单位领导推荐新的兼职资产管理员，同时写出书面报告，递交资产管理处备案。</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第六条 本规定由资产管理处负责解释。</w:t>
      </w:r>
    </w:p>
    <w:p>
      <w:pPr>
        <w:spacing w:line="520" w:lineRule="exact"/>
        <w:ind w:firstLine="646" w:firstLineChars="202"/>
        <w:rPr>
          <w:rFonts w:ascii="仿宋" w:hAnsi="仿宋" w:eastAsia="仿宋"/>
          <w:sz w:val="32"/>
          <w:szCs w:val="32"/>
        </w:rPr>
      </w:pPr>
      <w:r>
        <w:rPr>
          <w:rFonts w:hint="eastAsia" w:ascii="仿宋" w:hAnsi="仿宋" w:eastAsia="仿宋"/>
          <w:sz w:val="32"/>
          <w:szCs w:val="32"/>
        </w:rPr>
        <w:t>第七条 本规定自发布之日起施行。</w:t>
      </w: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page"/>
      </w:r>
    </w:p>
    <w:p>
      <w:pPr>
        <w:pStyle w:val="2"/>
        <w:rPr>
          <w:rFonts w:ascii="仿宋" w:hAnsi="仿宋" w:eastAsia="仿宋"/>
          <w:b w:val="0"/>
          <w:sz w:val="32"/>
          <w:szCs w:val="32"/>
        </w:rPr>
      </w:pPr>
      <w:bookmarkStart w:id="41" w:name="_Toc85616718"/>
      <w:r>
        <w:rPr>
          <w:rFonts w:hint="eastAsia" w:ascii="仿宋" w:hAnsi="仿宋" w:eastAsia="仿宋"/>
          <w:b w:val="0"/>
          <w:sz w:val="32"/>
          <w:szCs w:val="32"/>
        </w:rPr>
        <w:t>附件一：</w:t>
      </w:r>
      <w:bookmarkEnd w:id="41"/>
    </w:p>
    <w:p>
      <w:pPr>
        <w:jc w:val="center"/>
        <w:rPr>
          <w:rFonts w:ascii="方正小标宋简体" w:hAnsi="仿宋" w:eastAsia="方正小标宋简体"/>
          <w:sz w:val="44"/>
          <w:szCs w:val="44"/>
        </w:rPr>
      </w:pPr>
      <w:r>
        <w:fldChar w:fldCharType="begin"/>
      </w:r>
      <w:r>
        <w:instrText xml:space="preserve"> HYPERLINK \l "_目__" </w:instrText>
      </w:r>
      <w:r>
        <w:fldChar w:fldCharType="separate"/>
      </w:r>
      <w:r>
        <w:rPr>
          <w:rStyle w:val="15"/>
          <w:rFonts w:hint="eastAsia" w:ascii="方正小标宋简体" w:hAnsi="仿宋" w:eastAsia="方正小标宋简体"/>
          <w:color w:val="auto"/>
          <w:sz w:val="44"/>
          <w:szCs w:val="44"/>
          <w:u w:val="none"/>
        </w:rPr>
        <w:t>固定资产管理流程图</w:t>
      </w:r>
      <w:r>
        <w:rPr>
          <w:rStyle w:val="16"/>
          <w:rFonts w:hint="eastAsia" w:ascii="方正小标宋简体" w:hAnsi="仿宋" w:eastAsia="方正小标宋简体"/>
          <w:color w:val="auto"/>
          <w:sz w:val="44"/>
          <w:szCs w:val="44"/>
          <w:u w:val="none"/>
        </w:rPr>
        <w:fldChar w:fldCharType="end"/>
      </w:r>
    </w:p>
    <w:p>
      <w:pPr>
        <w:spacing w:line="400" w:lineRule="exact"/>
        <w:jc w:val="center"/>
        <w:rPr>
          <w:rFonts w:ascii="仿宋" w:hAnsi="仿宋" w:eastAsia="仿宋" w:cs="仿宋"/>
          <w:sz w:val="32"/>
          <w:szCs w:val="32"/>
        </w:rPr>
      </w:pPr>
      <w:bookmarkStart w:id="42" w:name="_top"/>
      <w:bookmarkEnd w:id="42"/>
      <w:r>
        <w:rPr>
          <w:rFonts w:ascii="仿宋" w:hAnsi="仿宋" w:eastAsia="仿宋" w:cs="仿宋"/>
          <w:sz w:val="32"/>
          <w:szCs w:val="32"/>
        </w:rPr>
        <w:pict>
          <v:line id="_x0000_s1476" o:spid="_x0000_s1476" o:spt="20" style="position:absolute;left:0pt;margin-left:571.6pt;margin-top:385pt;height:15.6pt;width:0pt;z-index:251660288;mso-width-relative:page;mso-height-relative:page;" stroked="t" coordsize="21600,21600">
            <v:path arrowok="t"/>
            <v:fill focussize="0,0"/>
            <v:stroke weight="2.5pt" color="#4BACC6" endarrow="block"/>
            <v:imagedata o:title=""/>
            <o:lock v:ext="edit"/>
            <v:shadow on="t" opacity="32768f"/>
          </v:line>
        </w:pict>
      </w:r>
      <w:r>
        <w:rPr>
          <w:rFonts w:ascii="仿宋" w:hAnsi="仿宋" w:eastAsia="仿宋" w:cs="仿宋"/>
          <w:sz w:val="32"/>
          <w:szCs w:val="32"/>
        </w:rPr>
        <w:pict>
          <v:line id="_x0000_s1475" o:spid="_x0000_s1475" o:spt="20" style="position:absolute;left:0pt;margin-left:571.75pt;margin-top:431.25pt;height:15.6pt;width:0pt;z-index:251659264;mso-width-relative:page;mso-height-relative:page;" stroked="t" coordsize="21600,21600">
            <v:path arrowok="t"/>
            <v:fill focussize="0,0"/>
            <v:stroke weight="2.5pt" color="#4BACC6"/>
            <v:imagedata o:title=""/>
            <o:lock v:ext="edit"/>
            <v:shadow on="t" opacity="32768f"/>
          </v:line>
        </w:pict>
      </w:r>
    </w:p>
    <w:p>
      <w:pPr>
        <w:snapToGrid w:val="0"/>
        <w:spacing w:after="120" w:line="520" w:lineRule="exact"/>
        <w:ind w:firstLine="646" w:firstLineChars="202"/>
        <w:jc w:val="left"/>
        <w:rPr>
          <w:rFonts w:ascii="仿宋" w:hAnsi="仿宋" w:eastAsia="仿宋"/>
          <w:sz w:val="32"/>
          <w:szCs w:val="32"/>
        </w:rPr>
      </w:pPr>
      <w:r>
        <w:rPr>
          <w:rFonts w:ascii="仿宋" w:hAnsi="仿宋" w:eastAsia="仿宋"/>
          <w:sz w:val="32"/>
          <w:szCs w:val="32"/>
        </w:rPr>
        <w:pict>
          <v:group id="_x0000_s1767" o:spid="_x0000_s1767" o:spt="203" style="position:absolute;left:0pt;margin-left:-3pt;margin-top:-3.7pt;height:546.95pt;width:451.2pt;z-index:251664384;mso-width-relative:page;mso-height-relative:page;" coordorigin="1740,3288" coordsize="9024,10939">
            <o:lock v:ext="edit"/>
            <v:group id="_x0000_s1768" o:spid="_x0000_s1768" o:spt="203" style="position:absolute;left:3666;top:6380;height:7847;width:4535;" coordorigin="3666,6380" coordsize="4535,7847">
              <o:lock v:ext="edit"/>
              <v:line id="直线 139" o:spid="_x0000_s1769" o:spt="20" style="position:absolute;left:5933;top:7992;height:454;width:0;" stroked="t" coordsize="21600,21600">
                <v:path arrowok="t"/>
                <v:fill focussize="0,0"/>
                <v:stroke weight="2.5pt" color="#4BACC6" endarrow="block"/>
                <v:imagedata o:title=""/>
                <o:lock v:ext="edit"/>
                <v:shadow on="t" opacity="32768f"/>
              </v:line>
              <v:line id="直线 144" o:spid="_x0000_s1770" o:spt="20" style="position:absolute;left:5933;top:12154;height:454;width:0;" stroked="t" coordsize="21600,21600">
                <v:path arrowok="t"/>
                <v:fill focussize="0,0"/>
                <v:stroke weight="2.5pt" color="#4BACC6" endarrow="block"/>
                <v:imagedata o:title=""/>
                <o:lock v:ext="edit"/>
                <v:shadow on="t" opacity="32768f"/>
              </v:line>
              <v:line id="直线 140" o:spid="_x0000_s1771" o:spt="20" style="position:absolute;left:5933;top:9032;height:454;width:0;" stroked="t" coordsize="21600,21600">
                <v:path arrowok="t"/>
                <v:fill focussize="0,0"/>
                <v:stroke weight="2.5pt" color="#4BACC6" endarrow="block"/>
                <v:imagedata o:title=""/>
                <o:lock v:ext="edit"/>
                <v:shadow on="t" opacity="32768f"/>
              </v:line>
              <v:line id="直线 141" o:spid="_x0000_s1772" o:spt="20" style="position:absolute;left:5933;top:6948;height:454;width:0;" stroked="t" coordsize="21600,21600">
                <v:path arrowok="t"/>
                <v:fill focussize="0,0"/>
                <v:stroke weight="2.5pt" color="#4BACC6" endarrow="block"/>
                <v:imagedata o:title=""/>
                <o:lock v:ext="edit"/>
                <v:shadow on="t" opacity="32768f"/>
              </v:line>
              <v:line id="直线 142" o:spid="_x0000_s1773" o:spt="20" style="position:absolute;left:5933;top:11132;height:454;width:0;" stroked="t" coordsize="21600,21600">
                <v:path arrowok="t"/>
                <v:fill focussize="0,0"/>
                <v:stroke weight="2.5pt" color="#4BACC6" endarrow="block"/>
                <v:imagedata o:title=""/>
                <o:lock v:ext="edit"/>
                <v:shadow on="t" opacity="32768f"/>
              </v:line>
              <v:rect id="矩形 10" o:spid="_x0000_s1774" o:spt="1" style="position:absolute;left:3666;top:12596;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实物处理</w:t>
                      </w:r>
                    </w:p>
                    <w:p>
                      <w:pPr>
                        <w:rPr>
                          <w:rFonts w:ascii="Calibri" w:hAnsi="Calibri" w:eastAsia="宋体" w:cs="Times New Roman"/>
                          <w:szCs w:val="28"/>
                        </w:rPr>
                      </w:pPr>
                    </w:p>
                  </w:txbxContent>
                </v:textbox>
              </v:rect>
              <v:rect id="矩形 12" o:spid="_x0000_s1775" o:spt="1" style="position:absolute;left:3666;top:13660;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上交残值收入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xbxContent>
                </v:textbox>
              </v:rect>
              <v:rect id="矩形 5" o:spid="_x0000_s1776" o:spt="1" style="position:absolute;left:3666;top:7428;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进入建账流程</w:t>
                      </w:r>
                    </w:p>
                    <w:p>
                      <w:pPr>
                        <w:rPr>
                          <w:rFonts w:ascii="仿宋" w:hAnsi="仿宋" w:eastAsia="仿宋" w:cs="仿宋"/>
                          <w:sz w:val="28"/>
                          <w:szCs w:val="28"/>
                        </w:rPr>
                      </w:pPr>
                    </w:p>
                  </w:txbxContent>
                </v:textbox>
              </v:rect>
              <v:rect id="矩形 13" o:spid="_x0000_s1777" o:spt="1" style="position:absolute;left:3666;top:8454;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日常(管理)使用维护</w:t>
                      </w:r>
                    </w:p>
                  </w:txbxContent>
                </v:textbox>
              </v:rect>
              <v:rect id="矩形 79" o:spid="_x0000_s1778" o:spt="1" style="position:absolute;left:3666;top:9502;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校内调剂、交接</w:t>
                      </w:r>
                    </w:p>
                    <w:p>
                      <w:pPr>
                        <w:rPr>
                          <w:rFonts w:ascii="Calibri" w:hAnsi="Calibri" w:eastAsia="宋体" w:cs="Times New Roman"/>
                          <w:szCs w:val="28"/>
                        </w:rPr>
                      </w:pPr>
                    </w:p>
                  </w:txbxContent>
                </v:textbox>
              </v:rect>
              <v:rect id="矩形 124" o:spid="_x0000_s1779" o:spt="1" style="position:absolute;left:3666;top:10562;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报废、报损</w:t>
                      </w:r>
                    </w:p>
                    <w:p>
                      <w:pPr>
                        <w:rPr>
                          <w:rFonts w:ascii="仿宋" w:hAnsi="仿宋" w:eastAsia="仿宋" w:cs="仿宋"/>
                          <w:sz w:val="28"/>
                          <w:szCs w:val="28"/>
                        </w:rPr>
                      </w:pPr>
                    </w:p>
                  </w:txbxContent>
                </v:textbox>
              </v:rect>
              <v:rect id="矩形 130" o:spid="_x0000_s1780" o:spt="1" style="position:absolute;left:3666;top:11608;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进入销账流程</w:t>
                      </w:r>
                    </w:p>
                    <w:p>
                      <w:pPr>
                        <w:rPr>
                          <w:rFonts w:ascii="仿宋" w:hAnsi="仿宋" w:eastAsia="仿宋" w:cs="仿宋"/>
                          <w:sz w:val="28"/>
                          <w:szCs w:val="28"/>
                        </w:rPr>
                      </w:pPr>
                    </w:p>
                  </w:txbxContent>
                </v:textbox>
              </v:rect>
              <v:rect id="_x0000_s1781" o:spid="_x0000_s1781" o:spt="1" style="position:absolute;left:3666;top:6380;height:567;width:4535;"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进入验收流程</w:t>
                      </w:r>
                    </w:p>
                    <w:p>
                      <w:pPr>
                        <w:rPr>
                          <w:rFonts w:ascii="仿宋" w:hAnsi="仿宋" w:eastAsia="仿宋" w:cs="仿宋"/>
                          <w:sz w:val="28"/>
                          <w:szCs w:val="28"/>
                        </w:rPr>
                      </w:pPr>
                    </w:p>
                  </w:txbxContent>
                </v:textbox>
              </v:rect>
              <v:line id="_x0000_s1782" o:spid="_x0000_s1782" o:spt="20" style="position:absolute;left:5933;top:13190;height:454;width:0;" stroked="t" coordsize="21600,21600">
                <v:path arrowok="t"/>
                <v:fill focussize="0,0"/>
                <v:stroke weight="2.5pt" color="#4BACC6" endarrow="block"/>
                <v:imagedata o:title=""/>
                <o:lock v:ext="edit"/>
                <v:shadow on="t" opacity="32768f"/>
              </v:line>
              <v:line id="_x0000_s1783" o:spid="_x0000_s1783" o:spt="20" style="position:absolute;left:5933;top:10106;height:454;width:0;" stroked="t" coordsize="21600,21600">
                <v:path arrowok="t"/>
                <v:fill focussize="0,0"/>
                <v:stroke weight="2.5pt" color="#4BACC6" endarrow="block"/>
                <v:imagedata o:title=""/>
                <o:lock v:ext="edit"/>
                <v:shadow on="t" opacity="32768f"/>
              </v:line>
            </v:group>
            <v:group id="_x0000_s1784" o:spid="_x0000_s1784" o:spt="203" style="position:absolute;left:1740;top:3288;height:3074;width:9024;" coordorigin="1740,3288" coordsize="9024,3074">
              <o:lock v:ext="edit"/>
              <v:line id="直线 138" o:spid="_x0000_s1785" o:spt="20" style="position:absolute;left:5933;top:5908;height:454;width:0;" stroked="t" coordsize="21600,21600">
                <v:path arrowok="t"/>
                <v:fill focussize="0,0"/>
                <v:stroke weight="2.5pt" color="#4BACC6" endarrow="block"/>
                <v:imagedata o:title=""/>
                <o:lock v:ext="edit"/>
                <v:shadow on="t" opacity="32768f"/>
              </v:line>
              <v:rect id="_x0000_s1786" o:spid="_x0000_s1786" o:spt="1" style="position:absolute;left:1740;top:3752;height:1125;width:2301;"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不动产</w:t>
                      </w:r>
                    </w:p>
                    <w:p>
                      <w:pPr>
                        <w:spacing w:line="400" w:lineRule="exact"/>
                        <w:jc w:val="center"/>
                        <w:rPr>
                          <w:rFonts w:ascii="仿宋" w:hAnsi="仿宋" w:eastAsia="仿宋" w:cs="仿宋"/>
                          <w:sz w:val="32"/>
                          <w:szCs w:val="32"/>
                        </w:rPr>
                      </w:pPr>
                      <w:r>
                        <w:rPr>
                          <w:rFonts w:hint="eastAsia" w:ascii="仿宋" w:hAnsi="仿宋" w:eastAsia="仿宋" w:cs="仿宋"/>
                          <w:sz w:val="32"/>
                          <w:szCs w:val="32"/>
                        </w:rPr>
                        <w:t>（房屋、土地）</w:t>
                      </w:r>
                    </w:p>
                    <w:p>
                      <w:pPr>
                        <w:jc w:val="center"/>
                        <w:rPr>
                          <w:rFonts w:ascii="仿宋" w:hAnsi="仿宋" w:eastAsia="仿宋" w:cs="仿宋"/>
                          <w:sz w:val="28"/>
                          <w:szCs w:val="28"/>
                        </w:rPr>
                      </w:pPr>
                    </w:p>
                  </w:txbxContent>
                </v:textbox>
              </v:rect>
              <v:rect id="_x0000_s1787" o:spid="_x0000_s1787" o:spt="1" style="position:absolute;left:8634;top:4124;height:737;width:2130;" filled="f" stroked="t" coordsize="21600,21600">
                <v:path/>
                <v:fill on="f" focussize="0,0"/>
                <v:stroke weight="2.5pt" color="#4BACC6"/>
                <v:imagedata o:title=""/>
                <o:lock v:ext="edit"/>
                <v:shadow on="t" color="#558ED5" opacity="32768f"/>
                <v:textbox>
                  <w:txbxContent>
                    <w:p>
                      <w:pPr>
                        <w:jc w:val="center"/>
                        <w:rPr>
                          <w:rFonts w:ascii="仿宋" w:hAnsi="仿宋" w:eastAsia="仿宋" w:cs="仿宋"/>
                          <w:sz w:val="32"/>
                          <w:szCs w:val="32"/>
                        </w:rPr>
                      </w:pPr>
                      <w:r>
                        <w:rPr>
                          <w:rFonts w:hint="eastAsia" w:ascii="仿宋" w:hAnsi="仿宋" w:eastAsia="仿宋" w:cs="仿宋"/>
                          <w:sz w:val="32"/>
                          <w:szCs w:val="32"/>
                        </w:rPr>
                        <w:t>受捐赠物品</w:t>
                      </w:r>
                    </w:p>
                    <w:p>
                      <w:pPr>
                        <w:rPr>
                          <w:rFonts w:ascii="仿宋" w:hAnsi="仿宋" w:eastAsia="仿宋" w:cs="仿宋"/>
                          <w:sz w:val="28"/>
                          <w:szCs w:val="28"/>
                        </w:rPr>
                      </w:pPr>
                    </w:p>
                  </w:txbxContent>
                </v:textbox>
              </v:rect>
              <v:rect id="_x0000_s1788" o:spid="_x0000_s1788" o:spt="1" style="position:absolute;left:4313;top:4716;height:737;width:4005;" filled="f" stroked="t" coordsize="21600,21600">
                <v:path/>
                <v:fill on="f" focussize="0,0"/>
                <v:stroke weight="2.5pt" color="#4BACC6"/>
                <v:imagedata o:title=""/>
                <o:lock v:ext="edit"/>
                <v:shadow on="t" color="#558ED5" opacity="32768f"/>
                <v:textbox>
                  <w:txbxContent>
                    <w:p>
                      <w:pPr>
                        <w:jc w:val="center"/>
                        <w:rPr>
                          <w:rFonts w:ascii="仿宋" w:hAnsi="仿宋" w:eastAsia="仿宋" w:cs="仿宋"/>
                          <w:sz w:val="32"/>
                          <w:szCs w:val="32"/>
                        </w:rPr>
                      </w:pPr>
                      <w:r>
                        <w:rPr>
                          <w:rFonts w:hint="eastAsia" w:ascii="仿宋" w:hAnsi="仿宋" w:eastAsia="仿宋" w:cs="仿宋"/>
                          <w:sz w:val="32"/>
                          <w:szCs w:val="32"/>
                        </w:rPr>
                        <w:t>按规定程序完成采购流程程</w:t>
                      </w:r>
                    </w:p>
                    <w:p>
                      <w:pPr>
                        <w:rPr>
                          <w:rFonts w:ascii="仿宋" w:hAnsi="仿宋" w:eastAsia="仿宋" w:cs="仿宋"/>
                          <w:sz w:val="28"/>
                          <w:szCs w:val="28"/>
                        </w:rPr>
                      </w:pPr>
                    </w:p>
                  </w:txbxContent>
                </v:textbox>
              </v:rect>
              <v:line id="直线 110" o:spid="_x0000_s1789" o:spt="20" style="position:absolute;left:5933;top:4232;height:508;width:0;" stroked="t" coordsize="21600,21600">
                <v:path arrowok="t"/>
                <v:fill focussize="0,0"/>
                <v:stroke weight="2.5pt" color="#4BACC6" endarrow="block"/>
                <v:imagedata o:title=""/>
                <o:lock v:ext="edit"/>
                <v:shadow on="t" opacity="32768f"/>
              </v:line>
              <v:rect id="矩形 3" o:spid="_x0000_s1790" o:spt="1" style="position:absolute;left:4218;top:3288;height:946;width:3430;" filled="f" stroked="t" coordsize="21600,21600">
                <v:path/>
                <v:fill on="f" focussize="0,0"/>
                <v:stroke weight="2.5pt" color="#4BACC6"/>
                <v:imagedata o:title=""/>
                <o:lock v:ext="edit"/>
                <v:shadow on="t" color="#558ED5" opacity="32768f"/>
                <v:textbox>
                  <w:txbxContent>
                    <w:p>
                      <w:pPr>
                        <w:spacing w:line="400" w:lineRule="exact"/>
                        <w:jc w:val="center"/>
                        <w:rPr>
                          <w:rFonts w:ascii="仿宋" w:hAnsi="仿宋" w:eastAsia="仿宋" w:cs="仿宋"/>
                          <w:sz w:val="32"/>
                          <w:szCs w:val="32"/>
                        </w:rPr>
                      </w:pPr>
                      <w:r>
                        <w:rPr>
                          <w:rFonts w:hint="eastAsia" w:ascii="仿宋" w:hAnsi="仿宋" w:eastAsia="仿宋" w:cs="仿宋"/>
                          <w:sz w:val="32"/>
                          <w:szCs w:val="32"/>
                        </w:rPr>
                        <w:t>部门（单位）提交项目</w:t>
                      </w:r>
                    </w:p>
                    <w:p>
                      <w:pPr>
                        <w:spacing w:line="400" w:lineRule="exact"/>
                        <w:jc w:val="center"/>
                        <w:rPr>
                          <w:rFonts w:ascii="仿宋" w:hAnsi="仿宋" w:eastAsia="仿宋" w:cs="仿宋"/>
                          <w:sz w:val="32"/>
                          <w:szCs w:val="32"/>
                        </w:rPr>
                      </w:pPr>
                      <w:r>
                        <w:rPr>
                          <w:rFonts w:hint="eastAsia" w:ascii="仿宋" w:hAnsi="仿宋" w:eastAsia="仿宋" w:cs="仿宋"/>
                          <w:sz w:val="32"/>
                          <w:szCs w:val="32"/>
                        </w:rPr>
                        <w:t>计划或购置申请</w:t>
                      </w:r>
                    </w:p>
                    <w:p/>
                  </w:txbxContent>
                </v:textbox>
              </v:rect>
              <v:shape id="_x0000_s1791" o:spid="_x0000_s1791" o:spt="32" type="#_x0000_t32" style="position:absolute;left:2937;top:5892;height:0;width:6803;" o:connectortype="straight" filled="f" stroked="t" coordsize="21600,21600">
                <v:path arrowok="t"/>
                <v:fill on="f" focussize="0,0"/>
                <v:stroke weight="2.5pt" color="#4BACC6"/>
                <v:imagedata o:title=""/>
                <o:lock v:ext="edit"/>
                <v:shadow on="t" opacity="32768f"/>
              </v:shape>
              <v:line id="_x0000_s1792" o:spid="_x0000_s1792" o:spt="20" style="position:absolute;left:2945;top:4870;height:1020;width:0;" stroked="t" coordsize="21600,21600">
                <v:path arrowok="t"/>
                <v:fill focussize="0,0"/>
                <v:stroke weight="2.5pt" color="#4BACC6"/>
                <v:imagedata o:title=""/>
                <o:lock v:ext="edit"/>
                <v:shadow on="t" opacity="32768f"/>
              </v:line>
              <v:line id="_x0000_s1793" o:spid="_x0000_s1793" o:spt="20" style="position:absolute;left:5933;top:5485;height:397;width:0;" stroked="t" coordsize="21600,21600">
                <v:path arrowok="t"/>
                <v:fill focussize="0,0"/>
                <v:stroke weight="2.5pt" color="#4BACC6"/>
                <v:imagedata o:title=""/>
                <o:lock v:ext="edit"/>
                <v:shadow on="t" opacity="32768f"/>
              </v:line>
              <v:line id="_x0000_s1794" o:spid="_x0000_s1794" o:spt="20" style="position:absolute;left:9720;top:4876;height:1020;width:0;" stroked="t" coordsize="21600,21600">
                <v:path arrowok="t"/>
                <v:fill focussize="0,0"/>
                <v:stroke weight="2.5pt" color="#4BACC6"/>
                <v:imagedata o:title=""/>
                <o:lock v:ext="edit"/>
                <v:shadow on="t" opacity="32768f"/>
              </v:line>
            </v:group>
          </v:group>
        </w:pict>
      </w: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ind w:firstLine="646" w:firstLineChars="202"/>
        <w:jc w:val="left"/>
        <w:rPr>
          <w:rFonts w:ascii="仿宋" w:hAnsi="仿宋" w:eastAsia="仿宋"/>
          <w:sz w:val="32"/>
          <w:szCs w:val="32"/>
        </w:rPr>
      </w:pPr>
    </w:p>
    <w:p>
      <w:pPr>
        <w:snapToGrid w:val="0"/>
        <w:spacing w:after="120" w:line="520" w:lineRule="exact"/>
        <w:jc w:val="left"/>
        <w:rPr>
          <w:rFonts w:ascii="仿宋" w:hAnsi="仿宋" w:eastAsia="仿宋"/>
          <w:sz w:val="32"/>
          <w:szCs w:val="32"/>
        </w:rPr>
        <w:sectPr>
          <w:pgSz w:w="11906" w:h="16838"/>
          <w:pgMar w:top="1402" w:right="1800" w:bottom="1440" w:left="1800" w:header="851" w:footer="992" w:gutter="0"/>
          <w:cols w:space="425" w:num="1"/>
          <w:docGrid w:type="lines" w:linePitch="312" w:charSpace="0"/>
        </w:sectPr>
      </w:pPr>
    </w:p>
    <w:p>
      <w:pPr>
        <w:pStyle w:val="2"/>
        <w:rPr>
          <w:color w:val="auto"/>
          <w:sz w:val="44"/>
          <w:szCs w:val="44"/>
        </w:rPr>
      </w:pPr>
      <w:bookmarkStart w:id="43" w:name="_Toc85616719"/>
      <w:r>
        <w:rPr>
          <w:rFonts w:hint="eastAsia" w:ascii="仿宋" w:hAnsi="仿宋" w:eastAsia="仿宋"/>
          <w:b w:val="0"/>
          <w:sz w:val="32"/>
          <w:szCs w:val="32"/>
        </w:rPr>
        <w:t xml:space="preserve">附件二： </w:t>
      </w:r>
      <w:r>
        <w:rPr>
          <w:rFonts w:hint="eastAsia"/>
        </w:rPr>
        <w:t xml:space="preserve">                      </w:t>
      </w:r>
      <w:r>
        <w:rPr>
          <w:rFonts w:hint="eastAsia" w:ascii="方正小标宋简体" w:hAnsi="黑体" w:eastAsia="方正小标宋简体"/>
          <w:sz w:val="44"/>
          <w:szCs w:val="44"/>
        </w:rPr>
        <w:t xml:space="preserve">   </w:t>
      </w:r>
      <w:r>
        <w:fldChar w:fldCharType="begin"/>
      </w:r>
      <w:r>
        <w:instrText xml:space="preserve"> HYPERLINK \l "_目__" </w:instrText>
      </w:r>
      <w:r>
        <w:fldChar w:fldCharType="separate"/>
      </w:r>
      <w:r>
        <w:rPr>
          <w:rStyle w:val="16"/>
          <w:rFonts w:hint="eastAsia" w:ascii="方正小标宋简体" w:eastAsia="方正小标宋简体"/>
          <w:b w:val="0"/>
          <w:color w:val="auto"/>
          <w:sz w:val="44"/>
          <w:szCs w:val="44"/>
          <w:u w:val="none"/>
        </w:rPr>
        <w:t>物资验收流程图</w:t>
      </w:r>
      <w:bookmarkEnd w:id="43"/>
      <w:r>
        <w:rPr>
          <w:rStyle w:val="16"/>
          <w:rFonts w:hint="eastAsia" w:ascii="方正小标宋简体" w:eastAsia="方正小标宋简体"/>
          <w:b w:val="0"/>
          <w:color w:val="auto"/>
          <w:sz w:val="44"/>
          <w:szCs w:val="44"/>
          <w:u w:val="none"/>
        </w:rPr>
        <w:fldChar w:fldCharType="end"/>
      </w:r>
    </w:p>
    <w:p>
      <w:pPr>
        <w:tabs>
          <w:tab w:val="left" w:pos="6435"/>
        </w:tabs>
        <w:ind w:right="178" w:rightChars="85"/>
        <w:rPr>
          <w:rFonts w:ascii="仿宋" w:hAnsi="仿宋" w:eastAsia="仿宋"/>
          <w:bCs/>
          <w:sz w:val="32"/>
          <w:szCs w:val="32"/>
          <w:u w:val="double"/>
        </w:rPr>
      </w:pPr>
    </w:p>
    <w:p>
      <w:pPr>
        <w:tabs>
          <w:tab w:val="right" w:pos="8128"/>
        </w:tabs>
        <w:ind w:right="178" w:rightChars="85"/>
        <w:rPr>
          <w:rFonts w:ascii="仿宋" w:hAnsi="仿宋" w:eastAsia="仿宋"/>
          <w:bCs/>
          <w:sz w:val="32"/>
          <w:szCs w:val="32"/>
          <w:u w:val="double"/>
        </w:rPr>
      </w:pPr>
      <w:r>
        <w:rPr>
          <w:rFonts w:ascii="仿宋" w:hAnsi="仿宋" w:eastAsia="仿宋"/>
          <w:bCs/>
          <w:sz w:val="32"/>
          <w:szCs w:val="32"/>
          <w:u w:val="double"/>
        </w:rPr>
        <w:pict>
          <v:group id="_x0000_s1690" o:spid="_x0000_s1690" o:spt="203" style="position:absolute;left:0pt;margin-top:24pt;height:416.05pt;width:629.9pt;mso-position-horizontal:center;mso-wrap-distance-bottom:0pt;mso-wrap-distance-left:9pt;mso-wrap-distance-right:9pt;mso-wrap-distance-top:0pt;z-index:251662336;mso-width-relative:page;mso-height-relative:page;" coordorigin="2500,1191" coordsize="12598,8321">
            <o:lock v:ext="edit"/>
            <v:shape id="_x0000_s1691" o:spid="_x0000_s1691" o:spt="32" type="#_x0000_t32" style="position:absolute;left:3595;top:8933;height:1;width:9651;" o:connectortype="straight" filled="f" stroked="t" coordsize="21600,21600">
              <v:path arrowok="t"/>
              <v:fill on="f" focussize="0,0"/>
              <v:stroke weight="2.5pt" color="#4BACC6"/>
              <v:imagedata o:title=""/>
              <o:lock v:ext="edit"/>
            </v:shape>
            <v:group id="_x0000_s1692" o:spid="_x0000_s1692" o:spt="203" style="position:absolute;left:2500;top:1191;height:7724;width:12598;" coordorigin="2503,1856" coordsize="12598,7724">
              <o:lock v:ext="edit"/>
              <v:rect id="_x0000_s1693" o:spid="_x0000_s1693" o:spt="1" style="position:absolute;left:4595;top:8072;height:850;width:7620;" filled="f" stroked="t" coordsize="21600,21600">
                <v:path/>
                <v:fill on="f" focussize="0,0"/>
                <v:stroke weight="2.5pt" color="#4BACC6"/>
                <v:imagedata o:title=""/>
                <o:lock v:ext="edit"/>
                <v:textbox>
                  <w:txbxContent>
                    <w:p>
                      <w:pPr>
                        <w:spacing w:line="340" w:lineRule="exact"/>
                        <w:jc w:val="center"/>
                        <w:rPr>
                          <w:rFonts w:ascii="仿宋" w:hAnsi="仿宋" w:eastAsia="仿宋"/>
                          <w:sz w:val="32"/>
                          <w:szCs w:val="32"/>
                        </w:rPr>
                      </w:pPr>
                      <w:r>
                        <w:rPr>
                          <w:rFonts w:hint="eastAsia" w:ascii="仿宋" w:hAnsi="仿宋" w:eastAsia="仿宋"/>
                          <w:sz w:val="32"/>
                          <w:szCs w:val="32"/>
                        </w:rPr>
                        <w:t>使用单位根据资产实际情况填写《（低值类）验收单》《（非招标类）验收单》或《（招标类）验收单》</w:t>
                      </w:r>
                    </w:p>
                  </w:txbxContent>
                </v:textbox>
              </v:rect>
              <v:group id="_x0000_s1694" o:spid="_x0000_s1694" o:spt="203" style="position:absolute;left:2503;top:1856;height:6178;width:12598;" coordorigin="2503,1839" coordsize="12598,6178">
                <o:lock v:ext="edit"/>
                <v:rect id="_x0000_s1695" o:spid="_x0000_s1695" o:spt="1" style="position:absolute;left:2523;top:3986;height:1191;width:4207;" filled="f" stroked="t" coordsize="21600,21600">
                  <v:path/>
                  <v:fill on="f" focussize="0,0"/>
                  <v:stroke weight="2.5pt" color="#4BACC6"/>
                  <v:imagedata o:title=""/>
                  <o:lock v:ext="edit"/>
                  <v:textbox>
                    <w:txbxContent>
                      <w:p>
                        <w:pPr>
                          <w:spacing w:line="340" w:lineRule="exact"/>
                          <w:jc w:val="center"/>
                          <w:rPr>
                            <w:rFonts w:ascii="仿宋" w:hAnsi="仿宋" w:eastAsia="仿宋"/>
                            <w:sz w:val="32"/>
                            <w:szCs w:val="32"/>
                          </w:rPr>
                        </w:pPr>
                        <w:r>
                          <w:rPr>
                            <w:rFonts w:hint="eastAsia" w:ascii="仿宋" w:hAnsi="仿宋" w:eastAsia="仿宋"/>
                            <w:sz w:val="32"/>
                            <w:szCs w:val="32"/>
                          </w:rPr>
                          <w:t>使用单位及资产管理处根据申购单进行外观、数量、质量、合格证的验收</w:t>
                        </w:r>
                      </w:p>
                    </w:txbxContent>
                  </v:textbox>
                </v:rect>
                <v:rect id="_x0000_s1696" o:spid="_x0000_s1696" o:spt="1" style="position:absolute;left:4607;top:6807;height:570;width:7620;" filled="f" stroked="t" coordsize="21600,21600">
                  <v:path/>
                  <v:fill on="f" focussize="0,0"/>
                  <v:stroke weight="2.5pt" color="#4BACC6"/>
                  <v:imagedata o:title=""/>
                  <o:lock v:ext="edit"/>
                  <v:textbox>
                    <w:txbxContent>
                      <w:p>
                        <w:pPr>
                          <w:spacing w:line="340" w:lineRule="exact"/>
                          <w:jc w:val="center"/>
                          <w:rPr>
                            <w:rFonts w:ascii="仿宋" w:hAnsi="仿宋" w:eastAsia="仿宋"/>
                            <w:sz w:val="32"/>
                            <w:szCs w:val="32"/>
                          </w:rPr>
                        </w:pPr>
                        <w:r>
                          <w:rPr>
                            <w:rFonts w:hint="eastAsia" w:ascii="仿宋" w:hAnsi="仿宋" w:eastAsia="仿宋"/>
                            <w:sz w:val="32"/>
                            <w:szCs w:val="32"/>
                          </w:rPr>
                          <w:t>资产管理处根据发票、质保信息备案登记</w:t>
                        </w:r>
                      </w:p>
                    </w:txbxContent>
                  </v:textbox>
                </v:rect>
                <v:line id="_x0000_s1697" o:spid="_x0000_s1697" o:spt="20" style="position:absolute;left:8417;top:7393;height:624;width:0;" stroked="t" coordsize="21600,21600">
                  <v:path arrowok="t"/>
                  <v:fill focussize="0,0"/>
                  <v:stroke weight="2.5pt" color="#4BACC6" endarrow="block"/>
                  <v:imagedata o:title=""/>
                  <o:lock v:ext="edit"/>
                </v:line>
                <v:line id="_x0000_s1698" o:spid="_x0000_s1698" o:spt="20" style="position:absolute;left:4640;top:2885;height:1101;width:0;" stroked="t" coordsize="21600,21600">
                  <v:path arrowok="t"/>
                  <v:fill focussize="0,0"/>
                  <v:stroke weight="2.5pt" color="#4BACC6" endarrow="block"/>
                  <v:imagedata o:title=""/>
                  <o:lock v:ext="edit"/>
                </v:line>
                <v:line id="_x0000_s1699" o:spid="_x0000_s1699" o:spt="20" style="position:absolute;left:12190;top:5964;flip:x;height:381;width:0;rotation:11796480f;" stroked="t" coordsize="21600,21600">
                  <v:path arrowok="t"/>
                  <v:fill focussize="0,0"/>
                  <v:stroke weight="2.5pt" color="#4BACC6"/>
                  <v:imagedata o:title=""/>
                  <o:lock v:ext="edit"/>
                </v:line>
                <v:line id="_x0000_s1700" o:spid="_x0000_s1700" o:spt="20" style="position:absolute;left:4621;top:5211;flip:x;height:1134;width:0;rotation:11796480f;" stroked="t" coordsize="21600,21600">
                  <v:path arrowok="t"/>
                  <v:fill focussize="0,0"/>
                  <v:stroke weight="2.5pt" color="#4BACC6"/>
                  <v:imagedata o:title=""/>
                  <o:lock v:ext="edit"/>
                </v:line>
                <v:shape id="_x0000_s1701" o:spid="_x0000_s1701" o:spt="32" type="#_x0000_t32" style="position:absolute;left:4622;top:6369;height:0;width:7557;" o:connectortype="straight" filled="f" stroked="t" coordsize="21600,21600">
                  <v:path arrowok="t"/>
                  <v:fill on="f" focussize="0,0"/>
                  <v:stroke weight="2.5pt" color="#4BACC6"/>
                  <v:imagedata o:title=""/>
                  <o:lock v:ext="edit"/>
                </v:shape>
                <v:rect id="_x0000_s1702" o:spid="_x0000_s1702" o:spt="1" style="position:absolute;left:2503;top:2466;height:453;width:3504;" filled="f" stroked="f" coordsize="21600,21600">
                  <v:path/>
                  <v:fill on="f" focussize="0,0"/>
                  <v:stroke on="f" weight="2.5pt" color="#4BACC6"/>
                  <v:imagedata o:title=""/>
                  <o:lock v:ext="edit"/>
                  <v:textbox>
                    <w:txbxContent>
                      <w:p>
                        <w:pPr>
                          <w:spacing w:line="340" w:lineRule="exact"/>
                          <w:jc w:val="center"/>
                          <w:rPr>
                            <w:rFonts w:ascii="仿宋" w:hAnsi="仿宋" w:eastAsia="仿宋"/>
                            <w:sz w:val="32"/>
                            <w:szCs w:val="32"/>
                          </w:rPr>
                        </w:pPr>
                        <w:r>
                          <w:rPr>
                            <w:rFonts w:ascii="仿宋" w:hAnsi="仿宋" w:eastAsia="仿宋"/>
                            <w:sz w:val="32"/>
                            <w:szCs w:val="32"/>
                          </w:rPr>
                          <w:t>低值物资及非招标资产</w:t>
                        </w:r>
                      </w:p>
                    </w:txbxContent>
                  </v:textbox>
                </v:rect>
                <v:group id="_x0000_s1703" o:spid="_x0000_s1703" o:spt="203" style="position:absolute;left:4640;top:1839;height:4093;width:10461;" coordorigin="4640,1839" coordsize="10461,4093">
                  <o:lock v:ext="edit"/>
                  <v:line id="_x0000_s1704" o:spid="_x0000_s1704" o:spt="20" style="position:absolute;left:12190;top:2898;height:293;width:0;" stroked="t" coordsize="21600,21600">
                    <v:path arrowok="t"/>
                    <v:fill focussize="0,0"/>
                    <v:stroke weight="2.5pt" color="#4BACC6" endarrow="block"/>
                    <v:imagedata o:title=""/>
                    <o:lock v:ext="edit"/>
                  </v:line>
                  <v:rect id="_x0000_s1705" o:spid="_x0000_s1705" o:spt="1" style="position:absolute;left:10985;top:2465;height:453;width:2904;" filled="f" stroked="f" coordsize="21600,21600">
                    <v:path/>
                    <v:fill on="f" focussize="0,0"/>
                    <v:stroke on="f" weight="2.5pt" color="#4BACC6"/>
                    <v:imagedata o:title=""/>
                    <o:lock v:ext="edit"/>
                    <v:textbox>
                      <w:txbxContent>
                        <w:p>
                          <w:pPr>
                            <w:spacing w:line="340" w:lineRule="exact"/>
                            <w:jc w:val="center"/>
                            <w:rPr>
                              <w:rFonts w:ascii="仿宋" w:hAnsi="仿宋" w:eastAsia="仿宋"/>
                              <w:sz w:val="32"/>
                              <w:szCs w:val="32"/>
                            </w:rPr>
                          </w:pPr>
                          <w:r>
                            <w:rPr>
                              <w:rFonts w:ascii="仿宋" w:hAnsi="仿宋" w:eastAsia="仿宋"/>
                              <w:sz w:val="32"/>
                              <w:szCs w:val="32"/>
                            </w:rPr>
                            <w:t>招标类资产</w:t>
                          </w:r>
                        </w:p>
                      </w:txbxContent>
                    </v:textbox>
                  </v:rect>
                  <v:group id="_x0000_s1706" o:spid="_x0000_s1706" o:spt="203" style="position:absolute;left:4640;top:1839;height:4093;width:10461;" coordorigin="4640,1839" coordsize="10461,4093">
                    <o:lock v:ext="edit"/>
                    <v:rect id="_x0000_s1707" o:spid="_x0000_s1707" o:spt="1" style="position:absolute;left:9273;top:4741;height:1191;width:5828;" filled="f" stroked="t" coordsize="21600,21600">
                      <v:path/>
                      <v:fill on="f" focussize="0,0"/>
                      <v:stroke weight="2.5pt" color="#4BACC6"/>
                      <v:imagedata o:title=""/>
                      <o:lock v:ext="edit"/>
                      <v:textbox>
                        <w:txbxContent>
                          <w:p>
                            <w:pPr>
                              <w:spacing w:line="340" w:lineRule="exact"/>
                              <w:jc w:val="center"/>
                              <w:rPr>
                                <w:rFonts w:ascii="仿宋" w:hAnsi="仿宋" w:eastAsia="仿宋"/>
                                <w:sz w:val="32"/>
                                <w:szCs w:val="32"/>
                              </w:rPr>
                            </w:pPr>
                            <w:r>
                              <w:rPr>
                                <w:rFonts w:ascii="仿宋" w:hAnsi="仿宋" w:eastAsia="仿宋"/>
                                <w:sz w:val="32"/>
                                <w:szCs w:val="32"/>
                              </w:rPr>
                              <w:t>资产管理处收集合同、发票、质保信息单等资料后，根据使用部门验收结果，组织验收小组进行质量及安全验收</w:t>
                            </w:r>
                          </w:p>
                        </w:txbxContent>
                      </v:textbox>
                    </v:rect>
                    <v:rect id="_x0000_s1708" o:spid="_x0000_s1708" o:spt="1" style="position:absolute;left:9755;top:3225;height:1191;width:4853;" filled="f" stroked="t" coordsize="21600,21600">
                      <v:path/>
                      <v:fill on="f" focussize="0,0"/>
                      <v:stroke weight="2.5pt" color="#4BACC6"/>
                      <v:imagedata o:title=""/>
                      <o:lock v:ext="edit"/>
                      <v:textbox>
                        <w:txbxContent>
                          <w:p>
                            <w:pPr>
                              <w:spacing w:line="340" w:lineRule="exact"/>
                              <w:jc w:val="center"/>
                              <w:rPr>
                                <w:rFonts w:ascii="仿宋" w:hAnsi="仿宋" w:eastAsia="仿宋"/>
                                <w:sz w:val="32"/>
                                <w:szCs w:val="32"/>
                              </w:rPr>
                            </w:pPr>
                            <w:r>
                              <w:rPr>
                                <w:rFonts w:ascii="仿宋" w:hAnsi="仿宋" w:eastAsia="仿宋"/>
                                <w:sz w:val="32"/>
                                <w:szCs w:val="32"/>
                              </w:rPr>
                              <w:t>申购单位根据申购单进行外观、数量、合格证的验收，并填写资产安装日志或软件验收报告</w:t>
                            </w:r>
                          </w:p>
                        </w:txbxContent>
                      </v:textbox>
                    </v:rect>
                    <v:group id="_x0000_s1709" o:spid="_x0000_s1709" o:spt="203" style="position:absolute;left:4797;top:1839;height:1047;width:7245;" coordorigin="4797,1839" coordsize="7245,1047">
                      <o:lock v:ext="edit"/>
                      <v:rect id="_x0000_s1710" o:spid="_x0000_s1710" o:spt="1" style="position:absolute;left:4797;top:1839;height:567;width:7245;" filled="f" stroked="t" coordsize="21600,21600">
                        <v:path/>
                        <v:fill on="f" focussize="0,0"/>
                        <v:stroke weight="2.5pt" color="#4BACC6"/>
                        <v:imagedata o:title=""/>
                        <o:lock v:ext="edit"/>
                        <v:textbox>
                          <w:txbxContent>
                            <w:p>
                              <w:pPr>
                                <w:spacing w:line="340" w:lineRule="exact"/>
                                <w:jc w:val="center"/>
                                <w:rPr>
                                  <w:rFonts w:ascii="仿宋" w:hAnsi="仿宋" w:eastAsia="仿宋"/>
                                  <w:sz w:val="32"/>
                                  <w:szCs w:val="32"/>
                                </w:rPr>
                              </w:pPr>
                              <w:r>
                                <w:rPr>
                                  <w:rFonts w:hint="eastAsia" w:ascii="仿宋" w:hAnsi="仿宋" w:eastAsia="仿宋"/>
                                  <w:sz w:val="32"/>
                                  <w:szCs w:val="32"/>
                                </w:rPr>
                                <w:t>物资到货，使用单位接收货物</w:t>
                              </w:r>
                            </w:p>
                          </w:txbxContent>
                        </v:textbox>
                      </v:rect>
                      <v:shape id="_x0000_s1711" o:spid="_x0000_s1711" o:spt="32" type="#_x0000_t32" style="position:absolute;left:8413;top:2489;height:397;width:1;" o:connectortype="straight" filled="f" stroked="t" coordsize="21600,21600">
                        <v:path arrowok="t"/>
                        <v:fill on="f" focussize="0,0"/>
                        <v:stroke weight="2.5pt" color="#4BACC6"/>
                        <v:imagedata o:title=""/>
                        <o:lock v:ext="edit"/>
                      </v:shape>
                    </v:group>
                    <v:shape id="_x0000_s1712" o:spid="_x0000_s1712" o:spt="32" type="#_x0000_t32" style="position:absolute;left:4640;top:2894;height:0;width:7550;" o:connectortype="straight" filled="f" stroked="t" coordsize="21600,21600">
                      <v:path arrowok="t"/>
                      <v:fill on="f" focussize="0,0"/>
                      <v:stroke weight="2.5pt" color="#4BACC6"/>
                      <v:imagedata o:title=""/>
                      <o:lock v:ext="edit"/>
                    </v:shape>
                  </v:group>
                  <v:line id="_x0000_s1713" o:spid="_x0000_s1713" o:spt="20" style="position:absolute;left:12192;top:4447;height:293;width:0;" stroked="t" coordsize="21600,21600">
                    <v:path arrowok="t"/>
                    <v:fill focussize="0,0"/>
                    <v:stroke weight="2.5pt" color="#4BACC6" endarrow="block"/>
                    <v:imagedata o:title=""/>
                    <o:lock v:ext="edit"/>
                  </v:line>
                </v:group>
                <v:line id="_x0000_s1714" o:spid="_x0000_s1714" o:spt="20" style="position:absolute;left:8418;top:6390;flip:x;height:381;width:0;rotation:11796480f;" stroked="t" coordsize="21600,21600">
                  <v:path arrowok="t"/>
                  <v:fill focussize="0,0"/>
                  <v:stroke weight="2.5pt" color="#4BACC6" startarrow="block"/>
                  <v:imagedata o:title=""/>
                  <o:lock v:ext="edit"/>
                </v:line>
              </v:group>
              <v:line id="_x0000_s1715" o:spid="_x0000_s1715" o:spt="20" style="position:absolute;left:8405;top:8956;height:624;width:0;" stroked="t" coordsize="21600,21600">
                <v:path arrowok="t"/>
                <v:fill focussize="0,0"/>
                <v:stroke weight="2.5pt" color="#4BACC6"/>
                <v:imagedata o:title=""/>
                <o:lock v:ext="edit"/>
              </v:line>
            </v:group>
            <v:group id="_x0000_s1716" o:spid="_x0000_s1716" o:spt="203" style="position:absolute;left:3583;top:8939;height:573;width:9654;" coordorigin="3593,8924" coordsize="9654,573">
              <o:lock v:ext="edit"/>
              <v:line id="_x0000_s1717" o:spid="_x0000_s1717" o:spt="20" style="position:absolute;left:3593;top:8924;height:567;width:0;" stroked="t" coordsize="21600,21600">
                <v:path arrowok="t"/>
                <v:fill focussize="0,0"/>
                <v:stroke weight="2.5pt" color="#4BACC6"/>
                <v:imagedata o:title=""/>
                <o:lock v:ext="edit"/>
              </v:line>
              <v:line id="_x0000_s1718" o:spid="_x0000_s1718" o:spt="20" style="position:absolute;left:8408;top:8930;height:567;width:0;" stroked="t" coordsize="21600,21600">
                <v:path arrowok="t"/>
                <v:fill focussize="0,0"/>
                <v:stroke weight="2.5pt" color="#4BACC6"/>
                <v:imagedata o:title=""/>
                <o:lock v:ext="edit"/>
              </v:line>
              <v:line id="_x0000_s1719" o:spid="_x0000_s1719" o:spt="20" style="position:absolute;left:13247;top:8930;height:567;width:0;" stroked="t" coordsize="21600,21600">
                <v:path arrowok="t"/>
                <v:fill focussize="0,0"/>
                <v:stroke weight="2.5pt" color="#4BACC6"/>
                <v:imagedata o:title=""/>
                <o:lock v:ext="edit"/>
              </v:line>
            </v:group>
            <w10:wrap type="square"/>
          </v:group>
        </w:pic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ab/>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pict>
          <v:group id="_x0000_s1720" o:spid="_x0000_s1720" o:spt="203" style="position:absolute;left:0pt;margin-top:-0.55pt;height:449.25pt;width:685pt;mso-position-horizontal:center;mso-wrap-distance-bottom:0pt;mso-wrap-distance-left:9pt;mso-wrap-distance-right:9pt;mso-wrap-distance-top:0pt;z-index:251663360;mso-width-relative:page;mso-height-relative:page;" coordorigin="2548,556" coordsize="13700,8985">
            <o:lock v:ext="edit"/>
            <v:rect id="_x0000_s1721" o:spid="_x0000_s1721" o:spt="1" style="position:absolute;left:13344;top:598;height:453;width:2904;" filled="f" stroked="f" coordsize="21600,21600">
              <v:path/>
              <v:fill on="f" focussize="0,0"/>
              <v:stroke on="f" weight="3pt" linestyle="thinThin"/>
              <v:imagedata o:title=""/>
              <o:lock v:ext="edit"/>
              <v:textbox>
                <w:txbxContent>
                  <w:p>
                    <w:pPr>
                      <w:spacing w:line="340" w:lineRule="exact"/>
                      <w:jc w:val="center"/>
                      <w:rPr>
                        <w:rFonts w:ascii="仿宋" w:hAnsi="仿宋" w:eastAsia="仿宋"/>
                        <w:sz w:val="28"/>
                        <w:szCs w:val="28"/>
                      </w:rPr>
                    </w:pPr>
                    <w:r>
                      <w:rPr>
                        <w:rFonts w:ascii="仿宋" w:hAnsi="仿宋" w:eastAsia="仿宋"/>
                        <w:sz w:val="28"/>
                        <w:szCs w:val="28"/>
                      </w:rPr>
                      <w:t>招标类资产</w:t>
                    </w:r>
                  </w:p>
                </w:txbxContent>
              </v:textbox>
            </v:rect>
            <v:rect id="_x0000_s1722" o:spid="_x0000_s1722" o:spt="1" style="position:absolute;left:7002;top:790;height:453;width:2360;" filled="f" stroked="f" coordsize="21600,21600">
              <v:path/>
              <v:fill on="f" focussize="0,0"/>
              <v:stroke on="f" weight="3pt" linestyle="thinThin"/>
              <v:imagedata o:title=""/>
              <o:lock v:ext="edit"/>
              <v:textbox>
                <w:txbxContent>
                  <w:p>
                    <w:pPr>
                      <w:spacing w:line="340" w:lineRule="exact"/>
                      <w:jc w:val="center"/>
                      <w:rPr>
                        <w:rFonts w:ascii="仿宋" w:hAnsi="仿宋" w:eastAsia="仿宋"/>
                        <w:sz w:val="28"/>
                        <w:szCs w:val="28"/>
                      </w:rPr>
                    </w:pPr>
                    <w:r>
                      <w:rPr>
                        <w:rFonts w:ascii="仿宋" w:hAnsi="仿宋" w:eastAsia="仿宋"/>
                        <w:sz w:val="28"/>
                        <w:szCs w:val="28"/>
                      </w:rPr>
                      <w:t>非招标类资产</w:t>
                    </w:r>
                  </w:p>
                </w:txbxContent>
              </v:textbox>
            </v:rect>
            <v:group id="_x0000_s1723" o:spid="_x0000_s1723" o:spt="203" style="position:absolute;left:2548;top:556;height:8985;width:13342;" coordorigin="2548,556" coordsize="13342,8985">
              <o:lock v:ext="edit"/>
              <v:group id="_x0000_s1724" o:spid="_x0000_s1724" o:spt="203" style="position:absolute;left:2548;top:556;height:8985;width:13342;" coordorigin="2548,556" coordsize="13342,8985">
                <o:lock v:ext="edit"/>
                <v:rect id="_x0000_s1725" o:spid="_x0000_s1725" o:spt="1" style="position:absolute;left:2560;top:907;height:453;width:1802;" filled="f" stroked="f" coordsize="21600,21600">
                  <v:path/>
                  <v:fill on="f" focussize="0,0"/>
                  <v:stroke on="f" weight="3pt" linestyle="thinThin"/>
                  <v:imagedata o:title=""/>
                  <o:lock v:ext="edit"/>
                  <v:textbox>
                    <w:txbxContent>
                      <w:p>
                        <w:pPr>
                          <w:spacing w:line="340" w:lineRule="exact"/>
                          <w:jc w:val="center"/>
                          <w:rPr>
                            <w:rFonts w:ascii="仿宋" w:hAnsi="仿宋" w:eastAsia="仿宋"/>
                            <w:sz w:val="28"/>
                            <w:szCs w:val="28"/>
                          </w:rPr>
                        </w:pPr>
                        <w:r>
                          <w:rPr>
                            <w:rFonts w:ascii="仿宋" w:hAnsi="仿宋" w:eastAsia="仿宋"/>
                            <w:sz w:val="28"/>
                            <w:szCs w:val="28"/>
                          </w:rPr>
                          <w:t>低值类物资</w:t>
                        </w:r>
                      </w:p>
                    </w:txbxContent>
                  </v:textbox>
                </v:rect>
                <v:group id="_x0000_s1726" o:spid="_x0000_s1726" o:spt="203" style="position:absolute;left:11921;top:556;height:6381;width:3969;" coordorigin="11256,364" coordsize="3969,6381">
                  <o:lock v:ext="edit"/>
                  <v:line id="_x0000_s1727" o:spid="_x0000_s1727" o:spt="20" style="position:absolute;left:13235;top:6433;height:312;width:0;" stroked="t" coordsize="21600,21600">
                    <v:path arrowok="t"/>
                    <v:fill focussize="0,0"/>
                    <v:stroke weight="2.5pt" color="#4BACC6"/>
                    <v:imagedata o:title=""/>
                    <o:lock v:ext="edit"/>
                    <v:shadow on="t" opacity="32768f"/>
                  </v:line>
                  <v:group id="_x0000_s1728" o:spid="_x0000_s1728" o:spt="203" style="position:absolute;left:11256;top:364;height:6053;width:3969;" coordorigin="11256,364" coordsize="3969,6053">
                    <o:lock v:ext="edit"/>
                    <v:rect id="_x0000_s1729" o:spid="_x0000_s1729" o:spt="1" style="position:absolute;left:11533;top:5850;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副董事长签字</w:t>
                            </w:r>
                          </w:p>
                        </w:txbxContent>
                      </v:textbox>
                    </v:rect>
                    <v:line id="_x0000_s1730" o:spid="_x0000_s1730" o:spt="20" style="position:absolute;left:13232;top:5508;height:312;width:0;" stroked="t" coordsize="21600,21600">
                      <v:path arrowok="t"/>
                      <v:fill focussize="0,0"/>
                      <v:stroke weight="2.5pt" color="#4BACC6" endarrow="block"/>
                      <v:imagedata o:title=""/>
                      <o:lock v:ext="edit"/>
                      <v:shadow on="t" opacity="32768f"/>
                    </v:line>
                    <v:group id="_x0000_s1731" o:spid="_x0000_s1731" o:spt="203" style="position:absolute;left:11256;top:364;height:5116;width:3969;" coordorigin="11256,364" coordsize="3969,5116">
                      <o:lock v:ext="edit"/>
                      <v:rect id="_x0000_s1732" o:spid="_x0000_s1732" o:spt="1" style="position:absolute;left:11539;top:4913;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校长签字</w:t>
                              </w:r>
                            </w:p>
                          </w:txbxContent>
                        </v:textbox>
                      </v:rect>
                      <v:line id="_x0000_s1733" o:spid="_x0000_s1733" o:spt="20" style="position:absolute;left:13232;top:4572;height:312;width:0;" stroked="t" coordsize="21600,21600">
                        <v:path arrowok="t"/>
                        <v:fill focussize="0,0"/>
                        <v:stroke weight="2.5pt" color="#4BACC6" endarrow="block"/>
                        <v:imagedata o:title=""/>
                        <o:lock v:ext="edit"/>
                        <v:shadow on="t" opacity="32768f"/>
                      </v:line>
                      <v:group id="_x0000_s1734" o:spid="_x0000_s1734" o:spt="203" style="position:absolute;left:11256;top:364;height:4203;width:3969;" coordorigin="11256,364" coordsize="3969,4203">
                        <o:lock v:ext="edit"/>
                        <v:rect id="_x0000_s1735" o:spid="_x0000_s1735" o:spt="1" style="position:absolute;left:11256;top:4000;height:567;width:3969;"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验收小组成员及组长签字</w:t>
                                </w:r>
                              </w:p>
                            </w:txbxContent>
                          </v:textbox>
                        </v:rect>
                        <v:group id="_x0000_s1736" o:spid="_x0000_s1736" o:spt="203" style="position:absolute;left:11545;top:364;height:1434;width:3402;" coordorigin="11545,364" coordsize="3402,1434">
                          <o:lock v:ext="edit"/>
                          <v:rect id="_x0000_s1737" o:spid="_x0000_s1737" o:spt="1" style="position:absolute;left:11545;top:949;height:849;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使用部门上传相关附件并</w:t>
                                  </w:r>
                                  <w:r>
                                    <w:rPr>
                                      <w:rFonts w:hint="eastAsia" w:ascii="仿宋" w:hAnsi="仿宋" w:eastAsia="仿宋"/>
                                      <w:sz w:val="32"/>
                                      <w:szCs w:val="32"/>
                                    </w:rPr>
                                    <w:t>验收</w:t>
                                  </w:r>
                                  <w:r>
                                    <w:rPr>
                                      <w:rFonts w:ascii="仿宋" w:hAnsi="仿宋" w:eastAsia="仿宋"/>
                                      <w:sz w:val="32"/>
                                      <w:szCs w:val="32"/>
                                    </w:rPr>
                                    <w:t>签字</w:t>
                                  </w:r>
                                </w:p>
                              </w:txbxContent>
                            </v:textbox>
                          </v:rect>
                          <v:line id="_x0000_s1738" o:spid="_x0000_s1738" o:spt="20" style="position:absolute;left:13256;top:364;height:567;width:0;" stroked="t" coordsize="21600,21600">
                            <v:path arrowok="t"/>
                            <v:fill focussize="0,0"/>
                            <v:stroke weight="2.5pt" color="#4BACC6" endarrow="block"/>
                            <v:imagedata o:title=""/>
                            <o:lock v:ext="edit"/>
                            <v:shadow on="t" opacity="32768f"/>
                          </v:line>
                        </v:group>
                        <v:line id="_x0000_s1739" o:spid="_x0000_s1739" o:spt="20" style="position:absolute;left:13244;top:3660;height:312;width:0;" stroked="t" coordsize="21600,21600">
                          <v:path arrowok="t"/>
                          <v:fill focussize="0,0"/>
                          <v:stroke weight="2.5pt" color="#4BACC6" endarrow="block"/>
                          <v:imagedata o:title=""/>
                          <o:lock v:ext="edit"/>
                          <v:shadow on="t" opacity="32768f"/>
                        </v:line>
                        <v:rect id="_x0000_s1740" o:spid="_x0000_s1740" o:spt="1" style="position:absolute;left:11542;top:3077;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资产管理处签字</w:t>
                                </w:r>
                              </w:p>
                            </w:txbxContent>
                          </v:textbox>
                        </v:rect>
                        <v:group id="_x0000_s1741" o:spid="_x0000_s1741" o:spt="203" style="position:absolute;left:11542;top:1826;height:895;width:3402;" coordorigin="11542,1826" coordsize="3402,895">
                          <o:lock v:ext="edit"/>
                          <v:rect id="_x0000_s1742" o:spid="_x0000_s1742" o:spt="1" style="position:absolute;left:11542;top:2154;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主管校领导签字</w:t>
                                  </w:r>
                                </w:p>
                              </w:txbxContent>
                            </v:textbox>
                          </v:rect>
                          <v:line id="_x0000_s1743" o:spid="_x0000_s1743" o:spt="20" style="position:absolute;left:13245;top:1826;height:312;width:0;" stroked="t" coordsize="21600,21600">
                            <v:path arrowok="t"/>
                            <v:fill focussize="0,0"/>
                            <v:stroke weight="2.5pt" color="#4BACC6" endarrow="block"/>
                            <v:imagedata o:title=""/>
                            <o:lock v:ext="edit"/>
                            <v:shadow on="t" opacity="32768f"/>
                          </v:line>
                        </v:group>
                        <v:line id="_x0000_s1744" o:spid="_x0000_s1744" o:spt="20" style="position:absolute;left:13241;top:2753;height:312;width:0;" stroked="t" coordsize="21600,21600">
                          <v:path arrowok="t"/>
                          <v:fill focussize="0,0"/>
                          <v:stroke weight="2.5pt" color="#4BACC6" endarrow="block"/>
                          <v:imagedata o:title=""/>
                          <o:lock v:ext="edit"/>
                          <v:shadow on="t" opacity="32768f"/>
                        </v:line>
                      </v:group>
                    </v:group>
                  </v:group>
                </v:group>
                <v:group id="_x0000_s1745" o:spid="_x0000_s1745" o:spt="203" style="position:absolute;left:2548;top:574;height:6365;width:3414;" coordorigin="1883,382" coordsize="3414,6365">
                  <o:lock v:ext="edit"/>
                  <v:rect id="_x0000_s1746" o:spid="_x0000_s1746" o:spt="1" style="position:absolute;left:1883;top:1830;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使用部门</w:t>
                          </w:r>
                          <w:r>
                            <w:rPr>
                              <w:rFonts w:hint="eastAsia" w:ascii="仿宋" w:hAnsi="仿宋" w:eastAsia="仿宋"/>
                              <w:sz w:val="32"/>
                              <w:szCs w:val="32"/>
                            </w:rPr>
                            <w:t>验收</w:t>
                          </w:r>
                          <w:r>
                            <w:rPr>
                              <w:rFonts w:ascii="仿宋" w:hAnsi="仿宋" w:eastAsia="仿宋"/>
                              <w:sz w:val="32"/>
                              <w:szCs w:val="32"/>
                            </w:rPr>
                            <w:t>签字</w:t>
                          </w:r>
                        </w:p>
                      </w:txbxContent>
                    </v:textbox>
                  </v:rect>
                  <v:rect id="_x0000_s1747" o:spid="_x0000_s1747" o:spt="1" style="position:absolute;left:1883;top:3420;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资产管理处签字</w:t>
                          </w:r>
                        </w:p>
                      </w:txbxContent>
                    </v:textbox>
                  </v:rect>
                  <v:rect id="_x0000_s1748" o:spid="_x0000_s1748" o:spt="1" style="position:absolute;left:1895;top:5014;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后勤服务中心签字</w:t>
                          </w:r>
                        </w:p>
                      </w:txbxContent>
                    </v:textbox>
                  </v:rect>
                  <v:line id="_x0000_s1749" o:spid="_x0000_s1749" o:spt="20" style="position:absolute;left:3590;top:382;height:1417;width:0;" stroked="t" coordsize="21600,21600">
                    <v:path arrowok="t"/>
                    <v:fill focussize="0,0"/>
                    <v:stroke weight="2.5pt" color="#4BACC6" endarrow="block"/>
                    <v:imagedata o:title=""/>
                    <o:lock v:ext="edit"/>
                    <v:shadow on="t" opacity="32768f"/>
                  </v:line>
                  <v:line id="_x0000_s1750" o:spid="_x0000_s1750" o:spt="20" style="position:absolute;left:3605;top:5613;height:1134;width:0;" stroked="t" coordsize="21600,21600">
                    <v:path arrowok="t"/>
                    <v:fill focussize="0,0"/>
                    <v:stroke weight="2.5pt" color="#4BACC6"/>
                    <v:imagedata o:title=""/>
                    <o:lock v:ext="edit"/>
                    <v:shadow on="t" opacity="32768f"/>
                  </v:line>
                  <v:line id="_x0000_s1751" o:spid="_x0000_s1751" o:spt="20" style="position:absolute;left:3597;top:4020;height:964;width:0;" stroked="t" coordsize="21600,21600">
                    <v:path arrowok="t"/>
                    <v:fill focussize="0,0"/>
                    <v:stroke weight="2.5pt" color="#4BACC6" endarrow="block"/>
                    <v:imagedata o:title=""/>
                    <o:lock v:ext="edit"/>
                    <v:shadow on="t" opacity="32768f"/>
                  </v:line>
                  <v:line id="_x0000_s1752" o:spid="_x0000_s1752" o:spt="20" style="position:absolute;left:3585;top:2419;height:964;width:0;" stroked="t" coordsize="21600,21600">
                    <v:path arrowok="t"/>
                    <v:fill focussize="0,0"/>
                    <v:stroke weight="2.5pt" color="#4BACC6"/>
                    <v:imagedata o:title=""/>
                    <o:lock v:ext="edit"/>
                    <v:shadow on="t" opacity="32768f"/>
                  </v:line>
                </v:group>
                <v:group id="_x0000_s1753" o:spid="_x0000_s1753" o:spt="203" style="position:absolute;left:7384;top:574;height:6364;width:3402;" coordorigin="6719,382" coordsize="3402,6364">
                  <o:lock v:ext="edit"/>
                  <v:rect id="_x0000_s1754" o:spid="_x0000_s1754" o:spt="1" style="position:absolute;left:6719;top:1442;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使用部门</w:t>
                          </w:r>
                          <w:r>
                            <w:rPr>
                              <w:rFonts w:hint="eastAsia" w:ascii="仿宋" w:hAnsi="仿宋" w:eastAsia="仿宋"/>
                              <w:sz w:val="32"/>
                              <w:szCs w:val="32"/>
                            </w:rPr>
                            <w:t>验收</w:t>
                          </w:r>
                          <w:r>
                            <w:rPr>
                              <w:rFonts w:ascii="仿宋" w:hAnsi="仿宋" w:eastAsia="仿宋"/>
                              <w:sz w:val="32"/>
                              <w:szCs w:val="32"/>
                            </w:rPr>
                            <w:t>签字</w:t>
                          </w:r>
                        </w:p>
                      </w:txbxContent>
                    </v:textbox>
                  </v:rect>
                  <v:rect id="_x0000_s1755" o:spid="_x0000_s1755" o:spt="1" style="position:absolute;left:6719;top:2740;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主管校领导签字</w:t>
                          </w:r>
                        </w:p>
                      </w:txbxContent>
                    </v:textbox>
                  </v:rect>
                  <v:rect id="_x0000_s1756" o:spid="_x0000_s1756" o:spt="1" style="position:absolute;left:6719;top:5362;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后勤服务中心签字</w:t>
                          </w:r>
                        </w:p>
                      </w:txbxContent>
                    </v:textbox>
                  </v:rect>
                  <v:rect id="_x0000_s1757" o:spid="_x0000_s1757" o:spt="1" style="position:absolute;left:6719;top:4054;height:567;width:34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ascii="仿宋" w:hAnsi="仿宋" w:eastAsia="仿宋"/>
                              <w:sz w:val="32"/>
                              <w:szCs w:val="32"/>
                            </w:rPr>
                            <w:t>资产管理处签字</w:t>
                          </w:r>
                        </w:p>
                      </w:txbxContent>
                    </v:textbox>
                  </v:rect>
                  <v:line id="_x0000_s1758" o:spid="_x0000_s1758" o:spt="20" style="position:absolute;left:8420;top:382;height:1049;width:0;" stroked="t" coordsize="21600,21600">
                    <v:path arrowok="t"/>
                    <v:fill focussize="0,0"/>
                    <v:stroke weight="2.5pt" color="#4BACC6" endarrow="block"/>
                    <v:imagedata o:title=""/>
                    <o:lock v:ext="edit"/>
                    <v:shadow on="t" opacity="32768f"/>
                  </v:line>
                  <v:line id="_x0000_s1759" o:spid="_x0000_s1759" o:spt="20" style="position:absolute;left:8420;top:5952;height:794;width:0;" stroked="t" coordsize="21600,21600">
                    <v:path arrowok="t"/>
                    <v:fill focussize="0,0"/>
                    <v:stroke weight="2.5pt" color="#4BACC6"/>
                    <v:imagedata o:title=""/>
                    <o:lock v:ext="edit"/>
                    <v:shadow on="t" opacity="32768f"/>
                  </v:line>
                  <v:line id="_x0000_s1760" o:spid="_x0000_s1760" o:spt="20" style="position:absolute;left:8420;top:4650;height:680;width:0;" stroked="t" coordsize="21600,21600">
                    <v:path arrowok="t"/>
                    <v:fill focussize="0,0"/>
                    <v:stroke weight="2.5pt" color="#4BACC6" endarrow="block"/>
                    <v:imagedata o:title=""/>
                    <o:lock v:ext="edit"/>
                    <v:shadow on="t" opacity="32768f"/>
                  </v:line>
                  <v:line id="_x0000_s1761" o:spid="_x0000_s1761" o:spt="20" style="position:absolute;left:8420;top:3338;height:680;width:0;" stroked="t" coordsize="21600,21600">
                    <v:path arrowok="t"/>
                    <v:fill focussize="0,0"/>
                    <v:stroke weight="2.5pt" color="#4BACC6" endarrow="block"/>
                    <v:imagedata o:title=""/>
                    <o:lock v:ext="edit"/>
                    <v:shadow on="t" opacity="32768f"/>
                  </v:line>
                  <v:line id="_x0000_s1762" o:spid="_x0000_s1762" o:spt="20" style="position:absolute;left:8420;top:2036;height:680;width:0;" stroked="t" coordsize="21600,21600">
                    <v:path arrowok="t"/>
                    <v:fill focussize="0,0"/>
                    <v:stroke weight="2.5pt" color="#4BACC6" endarrow="block"/>
                    <v:imagedata o:title=""/>
                    <o:lock v:ext="edit"/>
                    <v:shadow on="t" opacity="32768f"/>
                  </v:line>
                </v:group>
                <v:rect id="_x0000_s1763" o:spid="_x0000_s1763" o:spt="1" style="position:absolute;left:5686;top:7534;height:850;width:6803;"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hint="eastAsia" w:ascii="仿宋" w:hAnsi="仿宋" w:eastAsia="仿宋"/>
                            <w:sz w:val="32"/>
                            <w:szCs w:val="32"/>
                          </w:rPr>
                          <w:t>资产管理处根据验收单建帐，同时填写编号、存放地点、保管人等信息，并将相关资料存档</w:t>
                        </w:r>
                      </w:p>
                      <w:p>
                        <w:pPr>
                          <w:jc w:val="center"/>
                          <w:rPr>
                            <w:rFonts w:ascii="仿宋" w:hAnsi="仿宋" w:eastAsia="仿宋"/>
                            <w:sz w:val="32"/>
                            <w:szCs w:val="32"/>
                          </w:rPr>
                        </w:pPr>
                      </w:p>
                    </w:txbxContent>
                  </v:textbox>
                </v:rect>
                <v:rect id="_x0000_s1764" o:spid="_x0000_s1764" o:spt="1" style="position:absolute;left:6534;top:9010;height:531;width:5102;" filled="f" stroked="t" coordsize="21600,21600">
                  <v:path/>
                  <v:fill on="f" focussize="0,0"/>
                  <v:stroke weight="2.5pt" color="#4BACC6"/>
                  <v:imagedata o:title=""/>
                  <o:lock v:ext="edit"/>
                  <v:shadow on="t" opacity="32768f"/>
                  <v:textbox>
                    <w:txbxContent>
                      <w:p>
                        <w:pPr>
                          <w:spacing w:line="340" w:lineRule="exact"/>
                          <w:jc w:val="center"/>
                          <w:rPr>
                            <w:rFonts w:ascii="仿宋" w:hAnsi="仿宋" w:eastAsia="仿宋"/>
                            <w:sz w:val="32"/>
                            <w:szCs w:val="32"/>
                          </w:rPr>
                        </w:pPr>
                        <w:r>
                          <w:rPr>
                            <w:rFonts w:hint="eastAsia" w:ascii="仿宋" w:hAnsi="仿宋" w:eastAsia="仿宋"/>
                            <w:sz w:val="32"/>
                            <w:szCs w:val="32"/>
                          </w:rPr>
                          <w:t>后勤服务中心进入付款报销程序</w:t>
                        </w:r>
                      </w:p>
                      <w:p>
                        <w:pPr>
                          <w:rPr>
                            <w:rFonts w:ascii="仿宋" w:hAnsi="仿宋" w:eastAsia="仿宋"/>
                            <w:sz w:val="32"/>
                            <w:szCs w:val="32"/>
                          </w:rPr>
                        </w:pPr>
                      </w:p>
                    </w:txbxContent>
                  </v:textbox>
                </v:rect>
                <v:line id="_x0000_s1765" o:spid="_x0000_s1765" o:spt="20" style="position:absolute;left:9085;top:8406;height:567;width:0;" stroked="t" coordsize="21600,21600">
                  <v:path arrowok="t"/>
                  <v:fill focussize="0,0"/>
                  <v:stroke weight="2.5pt" color="#4BACC6" endarrow="block"/>
                  <v:imagedata o:title=""/>
                  <o:lock v:ext="edit"/>
                  <v:shadow on="t" opacity="32768f"/>
                </v:line>
              </v:group>
              <v:shape id="_x0000_s1766" o:spid="_x0000_s1766" o:spt="32" type="#_x0000_t32" style="position:absolute;left:4263;top:6948;height:0;width:9649;" o:connectortype="straight" filled="f" stroked="t" coordsize="21600,21600">
                <v:path arrowok="t"/>
                <v:fill on="f" focussize="0,0"/>
                <v:stroke weight="2.5pt" color="#4BACC6"/>
                <v:imagedata o:title=""/>
                <o:lock v:ext="edit"/>
                <v:shadow on="t" opacity="32768f"/>
              </v:shape>
            </v:group>
            <w10:wrap type="square"/>
          </v:group>
        </w:pict>
      </w:r>
    </w:p>
    <w:p>
      <w:pPr>
        <w:snapToGrid w:val="0"/>
        <w:spacing w:after="120" w:line="520" w:lineRule="exact"/>
        <w:jc w:val="left"/>
        <w:rPr>
          <w:rFonts w:ascii="仿宋" w:hAnsi="仿宋" w:eastAsia="仿宋"/>
          <w:sz w:val="32"/>
          <w:szCs w:val="32"/>
        </w:rPr>
        <w:sectPr>
          <w:pgSz w:w="16838" w:h="11906" w:orient="landscape"/>
          <w:pgMar w:top="567" w:right="1440" w:bottom="1797" w:left="1400" w:header="851" w:footer="992" w:gutter="0"/>
          <w:cols w:space="425" w:num="1"/>
          <w:docGrid w:type="lines" w:linePitch="312" w:charSpace="0"/>
        </w:sectPr>
      </w:pPr>
    </w:p>
    <w:p>
      <w:pPr>
        <w:pStyle w:val="2"/>
        <w:rPr>
          <w:rFonts w:ascii="仿宋" w:hAnsi="仿宋" w:eastAsia="仿宋"/>
          <w:b w:val="0"/>
          <w:sz w:val="32"/>
          <w:szCs w:val="32"/>
        </w:rPr>
      </w:pPr>
      <w:bookmarkStart w:id="44" w:name="_Toc85616720"/>
      <w:r>
        <w:rPr>
          <w:rFonts w:hint="eastAsia" w:ascii="仿宋" w:hAnsi="仿宋" w:eastAsia="仿宋"/>
          <w:b w:val="0"/>
          <w:sz w:val="32"/>
          <w:szCs w:val="32"/>
        </w:rPr>
        <w:t>附件三：</w:t>
      </w:r>
      <w:bookmarkEnd w:id="44"/>
    </w:p>
    <w:p>
      <w:pPr>
        <w:spacing w:line="360" w:lineRule="auto"/>
        <w:jc w:val="center"/>
        <w:rPr>
          <w:rFonts w:ascii="方正小标宋简体" w:hAnsi="黑体" w:eastAsia="方正小标宋简体" w:cs="方正小标宋简体"/>
          <w:sz w:val="44"/>
          <w:szCs w:val="44"/>
        </w:rPr>
      </w:pPr>
      <w:r>
        <w:fldChar w:fldCharType="begin"/>
      </w:r>
      <w:r>
        <w:instrText xml:space="preserve"> HYPERLINK \l "_目__" </w:instrText>
      </w:r>
      <w:r>
        <w:fldChar w:fldCharType="separate"/>
      </w:r>
      <w:r>
        <w:rPr>
          <w:rStyle w:val="15"/>
          <w:rFonts w:hint="eastAsia" w:ascii="方正小标宋简体" w:hAnsi="黑体" w:eastAsia="方正小标宋简体" w:cs="方正小标宋简体"/>
          <w:color w:val="auto"/>
          <w:sz w:val="44"/>
          <w:szCs w:val="44"/>
          <w:u w:val="none"/>
        </w:rPr>
        <w:t>固定资产报废流程图</w:t>
      </w:r>
      <w:r>
        <w:rPr>
          <w:rStyle w:val="16"/>
          <w:rFonts w:hint="eastAsia" w:ascii="方正小标宋简体" w:hAnsi="黑体" w:eastAsia="方正小标宋简体" w:cs="方正小标宋简体"/>
          <w:color w:val="auto"/>
          <w:sz w:val="44"/>
          <w:szCs w:val="44"/>
          <w:u w:val="none"/>
        </w:rPr>
        <w:fldChar w:fldCharType="end"/>
      </w:r>
    </w:p>
    <w:p>
      <w:pPr>
        <w:rPr>
          <w:rFonts w:ascii="仿宋" w:hAnsi="仿宋" w:eastAsia="仿宋"/>
          <w:sz w:val="32"/>
          <w:szCs w:val="32"/>
          <w:u w:val="double"/>
        </w:rPr>
      </w:pPr>
      <w:r>
        <w:rPr>
          <w:rFonts w:ascii="仿宋" w:hAnsi="仿宋" w:eastAsia="仿宋"/>
          <w:sz w:val="32"/>
          <w:szCs w:val="32"/>
        </w:rPr>
        <w:pict>
          <v:group id="组合 147" o:spid="_x0000_s1596" o:spt="203" style="position:absolute;left:0pt;margin-left:83.7pt;margin-top:22.7pt;height:457pt;width:255.1pt;z-index:251661312;mso-width-relative:page;mso-height-relative:page;" coordorigin="3754,6016" coordsize="5102,9140">
            <o:lock v:ext="edit"/>
            <v:line id="_x0000_s1597" o:spid="_x0000_s1597" o:spt="20" style="position:absolute;left:6312;top:9115;height:468;width:0;" stroked="t" coordsize="21600,21600">
              <v:path arrowok="t"/>
              <v:fill focussize="0,0"/>
              <v:stroke weight="2.5pt" color="#4BACC6" endarrow="block"/>
              <v:imagedata o:title=""/>
              <o:lock v:ext="edit"/>
              <v:shadow on="t" opacity="32768f"/>
            </v:line>
            <v:line id="_x0000_s1598" o:spid="_x0000_s1598" o:spt="20" style="position:absolute;left:6307;top:13698;height:468;width:0;" stroked="t" coordsize="21600,21600">
              <v:path arrowok="t"/>
              <v:fill focussize="0,0"/>
              <v:stroke weight="2.5pt" color="#4BACC6" endarrow="block"/>
              <v:imagedata o:title=""/>
              <o:lock v:ext="edit"/>
              <v:shadow on="t" opacity="32768f"/>
            </v:line>
            <v:line id="_x0000_s1599" o:spid="_x0000_s1599" o:spt="20" style="position:absolute;left:6307;top:7647;height:468;width:0;" stroked="t" coordsize="21600,21600">
              <v:path arrowok="t"/>
              <v:fill focussize="0,0"/>
              <v:stroke weight="2.5pt" color="#4BACC6" endarrow="block"/>
              <v:imagedata o:title=""/>
              <o:lock v:ext="edit"/>
              <v:shadow on="t" opacity="32768f"/>
            </v:line>
            <v:line id="_x0000_s1600" o:spid="_x0000_s1600" o:spt="20" style="position:absolute;left:6308;top:10161;height:468;width:0;" stroked="t" coordsize="21600,21600">
              <v:path arrowok="t"/>
              <v:fill focussize="0,0"/>
              <v:stroke weight="2.5pt" color="#4BACC6" endarrow="block"/>
              <v:imagedata o:title=""/>
              <o:lock v:ext="edit"/>
              <v:shadow on="t" opacity="32768f"/>
            </v:line>
            <v:line id="_x0000_s1601" o:spid="_x0000_s1601" o:spt="20" style="position:absolute;left:6310;top:11202;height:468;width:0;" stroked="t" coordsize="21600,21600">
              <v:path arrowok="t"/>
              <v:fill focussize="0,0"/>
              <v:stroke weight="2.5pt" color="#4BACC6" endarrow="block"/>
              <v:imagedata o:title=""/>
              <o:lock v:ext="edit"/>
              <v:shadow on="t" opacity="32768f"/>
            </v:line>
            <v:line id="_x0000_s1602" o:spid="_x0000_s1602" o:spt="20" style="position:absolute;left:6311;top:12240;height:468;width:0;" stroked="t" coordsize="21600,21600">
              <v:path arrowok="t"/>
              <v:fill focussize="0,0"/>
              <v:stroke weight="2.5pt" color="#4BACC6" endarrow="block"/>
              <v:imagedata o:title=""/>
              <o:lock v:ext="edit"/>
              <v:shadow on="t" opacity="32768f"/>
            </v:line>
            <v:rect id="_x0000_s1603" o:spid="_x0000_s1603" o:spt="1" style="position:absolute;left:3754;top:12706;height:992;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28"/>
                        <w:szCs w:val="28"/>
                      </w:rPr>
                    </w:pPr>
                    <w:r>
                      <w:rPr>
                        <w:rFonts w:hint="eastAsia" w:ascii="仿宋" w:hAnsi="仿宋" w:eastAsia="仿宋" w:cs="仿宋"/>
                        <w:sz w:val="28"/>
                        <w:szCs w:val="28"/>
                      </w:rPr>
                      <w:t>由后勤服务中心做实物报废处理，残值收入上缴财务处</w:t>
                    </w:r>
                  </w:p>
                </w:txbxContent>
              </v:textbox>
            </v:rect>
            <v:rect id="_x0000_s1604" o:spid="_x0000_s1604" o:spt="1" style="position:absolute;left:3754;top:14164;height:992;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28"/>
                        <w:szCs w:val="28"/>
                      </w:rPr>
                    </w:pPr>
                    <w:r>
                      <w:rPr>
                        <w:rFonts w:hint="eastAsia" w:ascii="仿宋" w:hAnsi="仿宋" w:eastAsia="仿宋" w:cs="仿宋"/>
                        <w:sz w:val="28"/>
                        <w:szCs w:val="28"/>
                      </w:rPr>
                      <w:t>财务处、资产管理处同时做销账处理，相关文件材料存档</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xbxContent>
              </v:textbox>
            </v:rect>
            <v:group id="组合 146" o:spid="_x0000_s1605" o:spt="203" style="position:absolute;left:3754;top:6016;height:1044;width:5102;" coordorigin="3754,6016" coordsize="5102,1044">
              <o:lock v:ext="edit"/>
              <v:line id="_x0000_s1606" o:spid="_x0000_s1606" o:spt="20" style="position:absolute;left:6310;top:6592;height:468;width:0;" stroked="t" coordsize="21600,21600">
                <v:path arrowok="t"/>
                <v:fill focussize="0,0"/>
                <v:stroke weight="2.5pt" color="#4BACC6" endarrow="block"/>
                <v:imagedata o:title=""/>
                <o:lock v:ext="edit"/>
                <v:shadow on="t" opacity="32768f"/>
              </v:line>
              <v:rect id="_x0000_s1607" o:spid="_x0000_s1607" o:spt="1" style="position:absolute;left:3754;top:6016;height:567;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30"/>
                          <w:szCs w:val="30"/>
                        </w:rPr>
                      </w:pPr>
                      <w:r>
                        <w:rPr>
                          <w:rFonts w:hint="eastAsia" w:ascii="仿宋" w:hAnsi="仿宋" w:eastAsia="仿宋" w:cs="仿宋"/>
                          <w:sz w:val="30"/>
                          <w:szCs w:val="30"/>
                        </w:rPr>
                        <w:t>申请单位填写资产报废申请单</w:t>
                      </w:r>
                    </w:p>
                  </w:txbxContent>
                </v:textbox>
              </v:rect>
            </v:group>
            <v:rect id="_x0000_s1608" o:spid="_x0000_s1608" o:spt="1" style="position:absolute;left:3754;top:7076;height:567;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30"/>
                        <w:szCs w:val="30"/>
                      </w:rPr>
                    </w:pPr>
                    <w:r>
                      <w:rPr>
                        <w:rFonts w:hint="eastAsia" w:ascii="仿宋" w:hAnsi="仿宋" w:eastAsia="仿宋" w:cs="仿宋"/>
                        <w:sz w:val="28"/>
                        <w:szCs w:val="28"/>
                      </w:rPr>
                      <w:t>资产管理处</w:t>
                    </w:r>
                    <w:r>
                      <w:rPr>
                        <w:rFonts w:hint="eastAsia" w:ascii="仿宋" w:hAnsi="仿宋" w:eastAsia="仿宋" w:cs="仿宋"/>
                        <w:sz w:val="30"/>
                        <w:szCs w:val="30"/>
                      </w:rPr>
                      <w:t>定期集中</w:t>
                    </w:r>
                    <w:r>
                      <w:rPr>
                        <w:rFonts w:hint="eastAsia" w:ascii="仿宋" w:hAnsi="仿宋" w:eastAsia="仿宋" w:cs="仿宋"/>
                        <w:sz w:val="28"/>
                        <w:szCs w:val="28"/>
                      </w:rPr>
                      <w:t>组织技术鉴定</w:t>
                    </w:r>
                  </w:p>
                  <w:p>
                    <w:pPr>
                      <w:rPr>
                        <w:rFonts w:ascii="仿宋" w:hAnsi="仿宋" w:eastAsia="仿宋" w:cs="仿宋"/>
                        <w:sz w:val="28"/>
                        <w:szCs w:val="28"/>
                      </w:rPr>
                    </w:pPr>
                  </w:p>
                </w:txbxContent>
              </v:textbox>
            </v:rect>
            <v:rect id="_x0000_s1609" o:spid="_x0000_s1609" o:spt="1" style="position:absolute;left:3754;top:8119;height:992;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30"/>
                        <w:szCs w:val="30"/>
                      </w:rPr>
                    </w:pPr>
                    <w:r>
                      <w:rPr>
                        <w:rFonts w:hint="eastAsia" w:ascii="仿宋" w:hAnsi="仿宋" w:eastAsia="仿宋" w:cs="仿宋"/>
                        <w:sz w:val="28"/>
                        <w:szCs w:val="28"/>
                      </w:rPr>
                      <w:t>符合报废条件的由资产管理处</w:t>
                    </w:r>
                    <w:r>
                      <w:rPr>
                        <w:rFonts w:hint="eastAsia" w:ascii="仿宋" w:hAnsi="仿宋" w:eastAsia="仿宋" w:cs="仿宋"/>
                        <w:sz w:val="30"/>
                        <w:szCs w:val="30"/>
                      </w:rPr>
                      <w:t>填写报废申请表，鉴定人员签署鉴定结论</w:t>
                    </w:r>
                  </w:p>
                  <w:p/>
                </w:txbxContent>
              </v:textbox>
            </v:rect>
            <v:rect id="_x0000_s1610" o:spid="_x0000_s1610" o:spt="1" style="position:absolute;left:3754;top:9586;height:567;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28"/>
                        <w:szCs w:val="28"/>
                      </w:rPr>
                    </w:pPr>
                    <w:r>
                      <w:rPr>
                        <w:rFonts w:hint="eastAsia" w:ascii="仿宋" w:hAnsi="仿宋" w:eastAsia="仿宋" w:cs="仿宋"/>
                        <w:sz w:val="28"/>
                        <w:szCs w:val="28"/>
                      </w:rPr>
                      <w:t>由财务处核实资产的财务信息</w:t>
                    </w:r>
                  </w:p>
                </w:txbxContent>
              </v:textbox>
            </v:rect>
            <v:rect id="_x0000_s1611" o:spid="_x0000_s1611" o:spt="1" style="position:absolute;left:3754;top:10630;height:567;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28"/>
                        <w:szCs w:val="28"/>
                      </w:rPr>
                    </w:pPr>
                    <w:r>
                      <w:rPr>
                        <w:rFonts w:hint="eastAsia" w:ascii="仿宋" w:hAnsi="仿宋" w:eastAsia="仿宋" w:cs="仿宋"/>
                        <w:sz w:val="28"/>
                        <w:szCs w:val="28"/>
                      </w:rPr>
                      <w:t>校 长 审 批</w:t>
                    </w:r>
                  </w:p>
                  <w:p>
                    <w:pPr>
                      <w:rPr>
                        <w:rFonts w:ascii="仿宋" w:hAnsi="仿宋" w:eastAsia="仿宋" w:cs="仿宋"/>
                        <w:sz w:val="28"/>
                        <w:szCs w:val="28"/>
                      </w:rPr>
                    </w:pPr>
                  </w:p>
                </w:txbxContent>
              </v:textbox>
            </v:rect>
            <v:rect id="_x0000_s1612" o:spid="_x0000_s1612" o:spt="1" style="position:absolute;left:3754;top:11676;height:567;width:5102;" filled="f" stroked="t" coordsize="21600,21600">
              <v:path/>
              <v:fill on="f" focussize="0,0"/>
              <v:stroke weight="2.5pt" color="#4BACC6"/>
              <v:imagedata o:title=""/>
              <o:lock v:ext="edit"/>
              <v:shadow on="t" color="#558ED5" opacity="32768f"/>
              <v:textbox>
                <w:txbxContent>
                  <w:p>
                    <w:pPr>
                      <w:spacing w:line="0" w:lineRule="atLeast"/>
                      <w:jc w:val="center"/>
                      <w:rPr>
                        <w:rFonts w:ascii="仿宋" w:hAnsi="仿宋" w:eastAsia="仿宋" w:cs="仿宋"/>
                        <w:sz w:val="28"/>
                        <w:szCs w:val="28"/>
                      </w:rPr>
                    </w:pPr>
                    <w:r>
                      <w:rPr>
                        <w:rFonts w:hint="eastAsia" w:ascii="仿宋" w:hAnsi="仿宋" w:eastAsia="仿宋" w:cs="仿宋"/>
                        <w:sz w:val="28"/>
                        <w:szCs w:val="28"/>
                      </w:rPr>
                      <w:t>副董事长审批</w:t>
                    </w:r>
                  </w:p>
                  <w:p>
                    <w:pPr>
                      <w:rPr>
                        <w:rFonts w:ascii="仿宋" w:hAnsi="仿宋" w:eastAsia="仿宋" w:cs="仿宋"/>
                        <w:sz w:val="28"/>
                        <w:szCs w:val="28"/>
                      </w:rPr>
                    </w:pPr>
                  </w:p>
                </w:txbxContent>
              </v:textbox>
            </v:rect>
          </v:group>
        </w:pic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pgSz w:w="11906" w:h="16838"/>
      <w:pgMar w:top="140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3576589"/>
      <w:docPartObj>
        <w:docPartGallery w:val="autotext"/>
      </w:docPartObj>
    </w:sdtPr>
    <w:sdtContent>
      <w:p>
        <w:pPr>
          <w:jc w:val="center"/>
        </w:pPr>
        <w:r>
          <w:rPr>
            <w:lang w:val="zh-CN"/>
          </w:rPr>
          <w:t xml:space="preserve"> </w:t>
        </w:r>
        <w:r>
          <w:fldChar w:fldCharType="begin"/>
        </w:r>
        <w:r>
          <w:instrText xml:space="preserve"> PAGE </w:instrText>
        </w:r>
        <w:r>
          <w:fldChar w:fldCharType="separate"/>
        </w:r>
        <w:r>
          <w:t>37</w:t>
        </w:r>
        <w:r>
          <w:fldChar w:fldCharType="end"/>
        </w:r>
        <w:r>
          <w:rPr>
            <w:lang w:val="zh-CN"/>
          </w:rPr>
          <w:t xml:space="preserve"> / </w:t>
        </w:r>
        <w:r>
          <w:rPr>
            <w:rFonts w:hint="eastAsia"/>
          </w:rPr>
          <w:t>40</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1" w:cryptProviderType="rsaFull" w:cryptAlgorithmClass="hash" w:cryptAlgorithmType="typeAny" w:cryptAlgorithmSid="4" w:cryptSpinCount="0" w:hash="G0/VTkzpOAupE/t7Ewf7MlIESQs=" w:salt="qTuegGteTPUGyU+tOlFKp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C1A"/>
    <w:rsid w:val="00000F32"/>
    <w:rsid w:val="00022378"/>
    <w:rsid w:val="00024F5C"/>
    <w:rsid w:val="00054442"/>
    <w:rsid w:val="000916FA"/>
    <w:rsid w:val="00095FB4"/>
    <w:rsid w:val="00096181"/>
    <w:rsid w:val="00097AE8"/>
    <w:rsid w:val="000A4F6C"/>
    <w:rsid w:val="000B45F9"/>
    <w:rsid w:val="000C51B7"/>
    <w:rsid w:val="000D20B3"/>
    <w:rsid w:val="000D2882"/>
    <w:rsid w:val="000D6F03"/>
    <w:rsid w:val="000E77CC"/>
    <w:rsid w:val="000F050A"/>
    <w:rsid w:val="000F12C8"/>
    <w:rsid w:val="001013A0"/>
    <w:rsid w:val="001224C4"/>
    <w:rsid w:val="00135157"/>
    <w:rsid w:val="00143BDB"/>
    <w:rsid w:val="00143C26"/>
    <w:rsid w:val="00144BB2"/>
    <w:rsid w:val="0014768B"/>
    <w:rsid w:val="00160565"/>
    <w:rsid w:val="00167822"/>
    <w:rsid w:val="00182CEE"/>
    <w:rsid w:val="001A1A05"/>
    <w:rsid w:val="001A2A85"/>
    <w:rsid w:val="001A374D"/>
    <w:rsid w:val="001A6AFF"/>
    <w:rsid w:val="001F0DF4"/>
    <w:rsid w:val="001F3C62"/>
    <w:rsid w:val="00215A11"/>
    <w:rsid w:val="00216EB9"/>
    <w:rsid w:val="0023722D"/>
    <w:rsid w:val="00247096"/>
    <w:rsid w:val="0025102E"/>
    <w:rsid w:val="00263FA8"/>
    <w:rsid w:val="00264950"/>
    <w:rsid w:val="00292342"/>
    <w:rsid w:val="002926AD"/>
    <w:rsid w:val="002A34A9"/>
    <w:rsid w:val="002A54DF"/>
    <w:rsid w:val="002D7EB7"/>
    <w:rsid w:val="002E3B7A"/>
    <w:rsid w:val="002E5916"/>
    <w:rsid w:val="002F768C"/>
    <w:rsid w:val="0032224E"/>
    <w:rsid w:val="0035238F"/>
    <w:rsid w:val="00353366"/>
    <w:rsid w:val="003567B9"/>
    <w:rsid w:val="0036176D"/>
    <w:rsid w:val="00371B24"/>
    <w:rsid w:val="00375069"/>
    <w:rsid w:val="0037551D"/>
    <w:rsid w:val="00380FFA"/>
    <w:rsid w:val="003B4536"/>
    <w:rsid w:val="003C479C"/>
    <w:rsid w:val="003D4123"/>
    <w:rsid w:val="003F3F02"/>
    <w:rsid w:val="004518A2"/>
    <w:rsid w:val="004844FD"/>
    <w:rsid w:val="004931F3"/>
    <w:rsid w:val="00496243"/>
    <w:rsid w:val="004F5A0B"/>
    <w:rsid w:val="005028E0"/>
    <w:rsid w:val="005138C0"/>
    <w:rsid w:val="0053036E"/>
    <w:rsid w:val="00534034"/>
    <w:rsid w:val="005342AA"/>
    <w:rsid w:val="005357BD"/>
    <w:rsid w:val="00537113"/>
    <w:rsid w:val="00557398"/>
    <w:rsid w:val="00567345"/>
    <w:rsid w:val="005751B4"/>
    <w:rsid w:val="00580034"/>
    <w:rsid w:val="005803C8"/>
    <w:rsid w:val="00585E36"/>
    <w:rsid w:val="00586444"/>
    <w:rsid w:val="0059531B"/>
    <w:rsid w:val="005C74D8"/>
    <w:rsid w:val="005C7E77"/>
    <w:rsid w:val="005F5592"/>
    <w:rsid w:val="00612642"/>
    <w:rsid w:val="00616505"/>
    <w:rsid w:val="0062213C"/>
    <w:rsid w:val="00633F40"/>
    <w:rsid w:val="006549AD"/>
    <w:rsid w:val="0065747F"/>
    <w:rsid w:val="00660940"/>
    <w:rsid w:val="00663803"/>
    <w:rsid w:val="00671D4D"/>
    <w:rsid w:val="00684D9C"/>
    <w:rsid w:val="006872A5"/>
    <w:rsid w:val="00696355"/>
    <w:rsid w:val="006A3E65"/>
    <w:rsid w:val="006A767B"/>
    <w:rsid w:val="00774BDF"/>
    <w:rsid w:val="00774C02"/>
    <w:rsid w:val="00775A47"/>
    <w:rsid w:val="0077609D"/>
    <w:rsid w:val="00794753"/>
    <w:rsid w:val="007A5D72"/>
    <w:rsid w:val="007C1F60"/>
    <w:rsid w:val="007C2DB0"/>
    <w:rsid w:val="007D1C7D"/>
    <w:rsid w:val="007E122C"/>
    <w:rsid w:val="00802A6B"/>
    <w:rsid w:val="00823CCF"/>
    <w:rsid w:val="0083137E"/>
    <w:rsid w:val="008424C9"/>
    <w:rsid w:val="008431AF"/>
    <w:rsid w:val="00873D55"/>
    <w:rsid w:val="008808E8"/>
    <w:rsid w:val="00887E62"/>
    <w:rsid w:val="008B06A4"/>
    <w:rsid w:val="008C6411"/>
    <w:rsid w:val="008E7A4B"/>
    <w:rsid w:val="008F7453"/>
    <w:rsid w:val="00913692"/>
    <w:rsid w:val="00931751"/>
    <w:rsid w:val="0093318D"/>
    <w:rsid w:val="00975EC6"/>
    <w:rsid w:val="0097705C"/>
    <w:rsid w:val="009B3D16"/>
    <w:rsid w:val="009E7E55"/>
    <w:rsid w:val="00A1491E"/>
    <w:rsid w:val="00A1746B"/>
    <w:rsid w:val="00A52D63"/>
    <w:rsid w:val="00A52DDE"/>
    <w:rsid w:val="00A52F5D"/>
    <w:rsid w:val="00A60633"/>
    <w:rsid w:val="00A82CED"/>
    <w:rsid w:val="00A84989"/>
    <w:rsid w:val="00A96F35"/>
    <w:rsid w:val="00AB3AEB"/>
    <w:rsid w:val="00AC4647"/>
    <w:rsid w:val="00AC7B41"/>
    <w:rsid w:val="00AD5CDE"/>
    <w:rsid w:val="00AE1DF3"/>
    <w:rsid w:val="00B12DC7"/>
    <w:rsid w:val="00B13F4A"/>
    <w:rsid w:val="00B22BBF"/>
    <w:rsid w:val="00B35430"/>
    <w:rsid w:val="00B760CA"/>
    <w:rsid w:val="00BA0C1A"/>
    <w:rsid w:val="00BA344D"/>
    <w:rsid w:val="00BE4568"/>
    <w:rsid w:val="00BF3F7C"/>
    <w:rsid w:val="00BF6AF5"/>
    <w:rsid w:val="00BF766C"/>
    <w:rsid w:val="00C061CB"/>
    <w:rsid w:val="00C112C8"/>
    <w:rsid w:val="00C20D87"/>
    <w:rsid w:val="00C41FAB"/>
    <w:rsid w:val="00C45DE2"/>
    <w:rsid w:val="00C556C5"/>
    <w:rsid w:val="00C604EC"/>
    <w:rsid w:val="00C60D81"/>
    <w:rsid w:val="00C928C5"/>
    <w:rsid w:val="00C94FF3"/>
    <w:rsid w:val="00CB7F86"/>
    <w:rsid w:val="00CC5BE4"/>
    <w:rsid w:val="00CD5B8F"/>
    <w:rsid w:val="00CF1B2B"/>
    <w:rsid w:val="00CF359F"/>
    <w:rsid w:val="00CF6119"/>
    <w:rsid w:val="00D0567D"/>
    <w:rsid w:val="00D10451"/>
    <w:rsid w:val="00D14D8E"/>
    <w:rsid w:val="00D437CC"/>
    <w:rsid w:val="00D51B60"/>
    <w:rsid w:val="00D6122D"/>
    <w:rsid w:val="00D630C0"/>
    <w:rsid w:val="00D70AAA"/>
    <w:rsid w:val="00D76686"/>
    <w:rsid w:val="00D91E50"/>
    <w:rsid w:val="00DA1B2F"/>
    <w:rsid w:val="00DA1ED9"/>
    <w:rsid w:val="00DB2DF6"/>
    <w:rsid w:val="00DC4C96"/>
    <w:rsid w:val="00E03A81"/>
    <w:rsid w:val="00E03B3E"/>
    <w:rsid w:val="00E1372E"/>
    <w:rsid w:val="00E17F14"/>
    <w:rsid w:val="00E216B0"/>
    <w:rsid w:val="00E220C9"/>
    <w:rsid w:val="00E26251"/>
    <w:rsid w:val="00E26C56"/>
    <w:rsid w:val="00E709D6"/>
    <w:rsid w:val="00E8373A"/>
    <w:rsid w:val="00EA1EE8"/>
    <w:rsid w:val="00EA6D32"/>
    <w:rsid w:val="00F22362"/>
    <w:rsid w:val="00F2686E"/>
    <w:rsid w:val="00F36207"/>
    <w:rsid w:val="00F44FB8"/>
    <w:rsid w:val="00F53662"/>
    <w:rsid w:val="00F62871"/>
    <w:rsid w:val="00F676DD"/>
    <w:rsid w:val="00F72807"/>
    <w:rsid w:val="00F823BC"/>
    <w:rsid w:val="00F97028"/>
    <w:rsid w:val="00F97E41"/>
    <w:rsid w:val="00FA0674"/>
    <w:rsid w:val="00FA5A4D"/>
    <w:rsid w:val="00FA71B6"/>
    <w:rsid w:val="00FB25B1"/>
    <w:rsid w:val="00FD2E7F"/>
    <w:rsid w:val="00FD61B0"/>
    <w:rsid w:val="00FF5002"/>
    <w:rsid w:val="083D07F0"/>
    <w:rsid w:val="105E3B74"/>
    <w:rsid w:val="1C2C4424"/>
    <w:rsid w:val="1C5B59C9"/>
    <w:rsid w:val="1CD54CE6"/>
    <w:rsid w:val="1DEC38DC"/>
    <w:rsid w:val="20431094"/>
    <w:rsid w:val="2FA0621D"/>
    <w:rsid w:val="30456175"/>
    <w:rsid w:val="36772279"/>
    <w:rsid w:val="434067C1"/>
    <w:rsid w:val="4891016A"/>
    <w:rsid w:val="4F12733E"/>
    <w:rsid w:val="55D6299A"/>
    <w:rsid w:val="568D20C3"/>
    <w:rsid w:val="5FD52FE9"/>
    <w:rsid w:val="6EAF13B0"/>
    <w:rsid w:val="71061E72"/>
    <w:rsid w:val="78F61EF0"/>
    <w:rsid w:val="7A3B2499"/>
    <w:rsid w:val="7E551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691"/>
        <o:r id="V:Rule2" type="connector" idref="#_x0000_s1701"/>
        <o:r id="V:Rule3" type="connector" idref="#_x0000_s1711"/>
        <o:r id="V:Rule4" type="connector" idref="#_x0000_s1712"/>
        <o:r id="V:Rule5" type="connector" idref="#_x0000_s1766"/>
        <o:r id="V:Rule6" type="connector" idref="#_x0000_s17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408" w:lineRule="auto"/>
      <w:jc w:val="left"/>
      <w:outlineLvl w:val="0"/>
    </w:pPr>
    <w:rPr>
      <w:b/>
      <w:bCs/>
      <w:color w:val="1A1A1A"/>
      <w:kern w:val="44"/>
      <w:sz w:val="36"/>
      <w:szCs w:val="36"/>
    </w:rPr>
  </w:style>
  <w:style w:type="paragraph" w:styleId="3">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rPr>
      <w:sz w:val="18"/>
      <w:szCs w:val="18"/>
    </w:rPr>
  </w:style>
  <w:style w:type="paragraph" w:styleId="5">
    <w:name w:val="footer"/>
    <w:basedOn w:val="1"/>
    <w:link w:val="18"/>
    <w:unhideWhenUsed/>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834"/>
      </w:tabs>
    </w:p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1"/>
    <w:qFormat/>
    <w:uiPriority w:val="10"/>
    <w:pPr>
      <w:spacing w:line="480" w:lineRule="auto"/>
      <w:jc w:val="center"/>
      <w:outlineLvl w:val="0"/>
    </w:pPr>
    <w:rPr>
      <w:rFonts w:asciiTheme="majorHAnsi" w:hAnsiTheme="majorHAnsi" w:eastAsiaTheme="majorEastAsia" w:cstheme="majorBidi"/>
      <w:b/>
      <w:bCs/>
      <w:sz w:val="48"/>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semiHidden/>
    <w:unhideWhenUsed/>
    <w:uiPriority w:val="99"/>
    <w:rPr>
      <w:color w:val="800080" w:themeColor="followedHyperlink"/>
      <w:u w:val="single"/>
    </w:rPr>
  </w:style>
  <w:style w:type="character" w:styleId="16">
    <w:name w:val="Hyperlink"/>
    <w:basedOn w:val="13"/>
    <w:unhideWhenUsed/>
    <w:qFormat/>
    <w:uiPriority w:val="99"/>
    <w:rPr>
      <w:color w:val="0000FF" w:themeColor="hyperlink"/>
      <w:u w:val="single"/>
    </w:rPr>
  </w:style>
  <w:style w:type="character" w:customStyle="1" w:styleId="17">
    <w:name w:val="页眉 Char"/>
    <w:basedOn w:val="13"/>
    <w:link w:val="6"/>
    <w:semiHidden/>
    <w:qFormat/>
    <w:uiPriority w:val="99"/>
    <w:rPr>
      <w:sz w:val="18"/>
      <w:szCs w:val="18"/>
    </w:rPr>
  </w:style>
  <w:style w:type="character" w:customStyle="1" w:styleId="18">
    <w:name w:val="页脚 Char"/>
    <w:basedOn w:val="13"/>
    <w:link w:val="5"/>
    <w:qFormat/>
    <w:uiPriority w:val="0"/>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3"/>
    <w:link w:val="4"/>
    <w:semiHidden/>
    <w:qFormat/>
    <w:uiPriority w:val="99"/>
    <w:rPr>
      <w:kern w:val="2"/>
      <w:sz w:val="18"/>
      <w:szCs w:val="18"/>
    </w:rPr>
  </w:style>
  <w:style w:type="character" w:customStyle="1" w:styleId="21">
    <w:name w:val="标题 Char"/>
    <w:basedOn w:val="13"/>
    <w:link w:val="10"/>
    <w:qFormat/>
    <w:uiPriority w:val="10"/>
    <w:rPr>
      <w:rFonts w:asciiTheme="majorHAnsi" w:hAnsiTheme="majorHAnsi" w:eastAsiaTheme="majorEastAsia" w:cstheme="majorBidi"/>
      <w:b/>
      <w:bCs/>
      <w:kern w:val="2"/>
      <w:sz w:val="4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476"/>
    <customShpInfo spid="_x0000_s1475"/>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68"/>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84"/>
    <customShpInfo spid="_x0000_s1767"/>
    <customShpInfo spid="_x0000_s1691"/>
    <customShpInfo spid="_x0000_s1693"/>
    <customShpInfo spid="_x0000_s1695"/>
    <customShpInfo spid="_x0000_s1696"/>
    <customShpInfo spid="_x0000_s1697"/>
    <customShpInfo spid="_x0000_s1698"/>
    <customShpInfo spid="_x0000_s1699"/>
    <customShpInfo spid="_x0000_s1700"/>
    <customShpInfo spid="_x0000_s1701"/>
    <customShpInfo spid="_x0000_s1702"/>
    <customShpInfo spid="_x0000_s1704"/>
    <customShpInfo spid="_x0000_s1705"/>
    <customShpInfo spid="_x0000_s1707"/>
    <customShpInfo spid="_x0000_s1708"/>
    <customShpInfo spid="_x0000_s1710"/>
    <customShpInfo spid="_x0000_s1711"/>
    <customShpInfo spid="_x0000_s1709"/>
    <customShpInfo spid="_x0000_s1712"/>
    <customShpInfo spid="_x0000_s1706"/>
    <customShpInfo spid="_x0000_s1713"/>
    <customShpInfo spid="_x0000_s1703"/>
    <customShpInfo spid="_x0000_s1714"/>
    <customShpInfo spid="_x0000_s1694"/>
    <customShpInfo spid="_x0000_s1715"/>
    <customShpInfo spid="_x0000_s1692"/>
    <customShpInfo spid="_x0000_s1717"/>
    <customShpInfo spid="_x0000_s1718"/>
    <customShpInfo spid="_x0000_s1719"/>
    <customShpInfo spid="_x0000_s1716"/>
    <customShpInfo spid="_x0000_s1690"/>
    <customShpInfo spid="_x0000_s1721"/>
    <customShpInfo spid="_x0000_s1722"/>
    <customShpInfo spid="_x0000_s1725"/>
    <customShpInfo spid="_x0000_s1727"/>
    <customShpInfo spid="_x0000_s1729"/>
    <customShpInfo spid="_x0000_s1730"/>
    <customShpInfo spid="_x0000_s1732"/>
    <customShpInfo spid="_x0000_s1733"/>
    <customShpInfo spid="_x0000_s1735"/>
    <customShpInfo spid="_x0000_s1737"/>
    <customShpInfo spid="_x0000_s1738"/>
    <customShpInfo spid="_x0000_s1736"/>
    <customShpInfo spid="_x0000_s1739"/>
    <customShpInfo spid="_x0000_s1740"/>
    <customShpInfo spid="_x0000_s1742"/>
    <customShpInfo spid="_x0000_s1743"/>
    <customShpInfo spid="_x0000_s1741"/>
    <customShpInfo spid="_x0000_s1744"/>
    <customShpInfo spid="_x0000_s1734"/>
    <customShpInfo spid="_x0000_s1731"/>
    <customShpInfo spid="_x0000_s1728"/>
    <customShpInfo spid="_x0000_s1726"/>
    <customShpInfo spid="_x0000_s1746"/>
    <customShpInfo spid="_x0000_s1747"/>
    <customShpInfo spid="_x0000_s1748"/>
    <customShpInfo spid="_x0000_s1749"/>
    <customShpInfo spid="_x0000_s1750"/>
    <customShpInfo spid="_x0000_s1751"/>
    <customShpInfo spid="_x0000_s1752"/>
    <customShpInfo spid="_x0000_s1745"/>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53"/>
    <customShpInfo spid="_x0000_s1763"/>
    <customShpInfo spid="_x0000_s1764"/>
    <customShpInfo spid="_x0000_s1765"/>
    <customShpInfo spid="_x0000_s1724"/>
    <customShpInfo spid="_x0000_s1766"/>
    <customShpInfo spid="_x0000_s1723"/>
    <customShpInfo spid="_x0000_s1720"/>
    <customShpInfo spid="_x0000_s1597"/>
    <customShpInfo spid="_x0000_s1598"/>
    <customShpInfo spid="_x0000_s1599"/>
    <customShpInfo spid="_x0000_s1600"/>
    <customShpInfo spid="_x0000_s1601"/>
    <customShpInfo spid="_x0000_s1602"/>
    <customShpInfo spid="_x0000_s1603"/>
    <customShpInfo spid="_x0000_s1604"/>
    <customShpInfo spid="_x0000_s1606"/>
    <customShpInfo spid="_x0000_s1607"/>
    <customShpInfo spid="_x0000_s1605"/>
    <customShpInfo spid="_x0000_s1608"/>
    <customShpInfo spid="_x0000_s1609"/>
    <customShpInfo spid="_x0000_s1610"/>
    <customShpInfo spid="_x0000_s1611"/>
    <customShpInfo spid="_x0000_s1612"/>
    <customShpInfo spid="_x0000_s159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E842C-6B3B-47D4-A2D0-4A8A651FAF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2338</Words>
  <Characters>13333</Characters>
  <Lines>111</Lines>
  <Paragraphs>31</Paragraphs>
  <TotalTime>11</TotalTime>
  <ScaleCrop>false</ScaleCrop>
  <LinksUpToDate>false</LinksUpToDate>
  <CharactersWithSpaces>15640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2021-10-20T02:30:00Z</dcterms:created>
  <dc:creator>Tencent</dc:creator>
  <cp:lastModifiedBy>katrin</cp:lastModifiedBy>
  <cp:lastPrinted>2021-02-08T03:15:00Z</cp:lastPrinted>
  <dcterms:modified xsi:type="dcterms:W3CDTF">2021-10-20T02:49:07Z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453CA6018E4A4CE48D0A16DA55A1659C</vt:lpwstr>
  </property>
</Properties>
</file>