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0E0" w:rsidRDefault="006000E0" w:rsidP="00720621">
      <w:pPr>
        <w:rPr>
          <w:rFonts w:hint="eastAsia"/>
          <w:b/>
          <w:sz w:val="52"/>
          <w:szCs w:val="52"/>
        </w:rPr>
      </w:pPr>
    </w:p>
    <w:p w:rsidR="003D2032" w:rsidRDefault="003D2032">
      <w:pPr>
        <w:jc w:val="center"/>
        <w:rPr>
          <w:b/>
          <w:sz w:val="11"/>
          <w:szCs w:val="11"/>
        </w:rPr>
      </w:pPr>
    </w:p>
    <w:p w:rsidR="00720621" w:rsidRDefault="00720621" w:rsidP="00720621">
      <w:pPr>
        <w:jc w:val="center"/>
        <w:rPr>
          <w:rFonts w:asciiTheme="majorEastAsia" w:eastAsiaTheme="majorEastAsia" w:hAnsiTheme="majorEastAsia"/>
          <w:b/>
          <w:sz w:val="72"/>
          <w:szCs w:val="72"/>
        </w:rPr>
      </w:pPr>
    </w:p>
    <w:p w:rsidR="00720621" w:rsidRDefault="00720621" w:rsidP="00720621">
      <w:pPr>
        <w:jc w:val="center"/>
        <w:rPr>
          <w:rFonts w:asciiTheme="majorEastAsia" w:eastAsiaTheme="majorEastAsia" w:hAnsiTheme="majorEastAsia"/>
          <w:b/>
          <w:sz w:val="72"/>
          <w:szCs w:val="72"/>
        </w:rPr>
      </w:pPr>
    </w:p>
    <w:p w:rsidR="00720621" w:rsidRDefault="007A301F" w:rsidP="00720621">
      <w:pPr>
        <w:jc w:val="center"/>
        <w:rPr>
          <w:rFonts w:asciiTheme="majorEastAsia" w:eastAsiaTheme="majorEastAsia" w:hAnsiTheme="majorEastAsia"/>
          <w:b/>
          <w:sz w:val="72"/>
          <w:szCs w:val="72"/>
        </w:rPr>
      </w:pPr>
      <w:r w:rsidRPr="004827D4">
        <w:rPr>
          <w:rFonts w:asciiTheme="majorEastAsia" w:eastAsiaTheme="majorEastAsia" w:hAnsiTheme="majorEastAsia" w:hint="eastAsia"/>
          <w:b/>
          <w:sz w:val="72"/>
          <w:szCs w:val="72"/>
        </w:rPr>
        <w:t>2015年度</w:t>
      </w:r>
    </w:p>
    <w:p w:rsidR="00024E60" w:rsidRPr="00024E60" w:rsidRDefault="00024E60" w:rsidP="00720621">
      <w:pPr>
        <w:jc w:val="center"/>
        <w:rPr>
          <w:rFonts w:asciiTheme="majorEastAsia" w:eastAsiaTheme="majorEastAsia" w:hAnsiTheme="majorEastAsia"/>
          <w:b/>
          <w:sz w:val="10"/>
          <w:szCs w:val="10"/>
        </w:rPr>
      </w:pPr>
    </w:p>
    <w:p w:rsidR="003D2032" w:rsidRPr="004827D4" w:rsidRDefault="007A301F" w:rsidP="00720621">
      <w:pPr>
        <w:jc w:val="center"/>
        <w:rPr>
          <w:rFonts w:asciiTheme="majorEastAsia" w:eastAsiaTheme="majorEastAsia" w:hAnsiTheme="majorEastAsia"/>
          <w:b/>
          <w:sz w:val="72"/>
          <w:szCs w:val="72"/>
        </w:rPr>
      </w:pPr>
      <w:r w:rsidRPr="004827D4">
        <w:rPr>
          <w:rFonts w:asciiTheme="majorEastAsia" w:eastAsiaTheme="majorEastAsia" w:hAnsiTheme="majorEastAsia" w:hint="eastAsia"/>
          <w:b/>
          <w:sz w:val="72"/>
          <w:szCs w:val="72"/>
        </w:rPr>
        <w:t>本科教学质量报告</w:t>
      </w:r>
    </w:p>
    <w:p w:rsidR="003D2032" w:rsidRPr="0048623E" w:rsidRDefault="003D2032">
      <w:pPr>
        <w:jc w:val="center"/>
        <w:rPr>
          <w:rFonts w:ascii="微软简隶书" w:eastAsia="微软简隶书" w:hAnsi="宋体"/>
          <w:b/>
          <w:sz w:val="84"/>
          <w:szCs w:val="84"/>
        </w:rPr>
      </w:pPr>
    </w:p>
    <w:p w:rsidR="003D2032" w:rsidRDefault="003D2032">
      <w:pPr>
        <w:jc w:val="center"/>
        <w:rPr>
          <w:rFonts w:ascii="微软简隶书" w:eastAsia="微软简隶书" w:hAnsi="宋体"/>
          <w:b/>
          <w:sz w:val="84"/>
          <w:szCs w:val="84"/>
        </w:rPr>
      </w:pPr>
    </w:p>
    <w:p w:rsidR="00720621" w:rsidRDefault="00720621">
      <w:pPr>
        <w:jc w:val="center"/>
        <w:rPr>
          <w:rFonts w:ascii="微软简隶书" w:eastAsia="微软简隶书" w:hAnsi="宋体"/>
          <w:b/>
          <w:sz w:val="84"/>
          <w:szCs w:val="84"/>
        </w:rPr>
      </w:pPr>
    </w:p>
    <w:p w:rsidR="00720621" w:rsidRPr="0048623E" w:rsidRDefault="00720621">
      <w:pPr>
        <w:jc w:val="center"/>
        <w:rPr>
          <w:rFonts w:ascii="微软简隶书" w:eastAsia="微软简隶书" w:hAnsi="宋体"/>
          <w:b/>
          <w:sz w:val="84"/>
          <w:szCs w:val="84"/>
        </w:rPr>
      </w:pPr>
    </w:p>
    <w:p w:rsidR="003D2032" w:rsidRPr="0048623E" w:rsidRDefault="003D2032">
      <w:pPr>
        <w:rPr>
          <w:rFonts w:ascii="微软简隶书" w:eastAsia="微软简隶书" w:hAnsi="宋体"/>
          <w:b/>
          <w:sz w:val="84"/>
          <w:szCs w:val="84"/>
        </w:rPr>
      </w:pPr>
    </w:p>
    <w:p w:rsidR="000B6F32" w:rsidRDefault="00720621" w:rsidP="0048623E">
      <w:pPr>
        <w:jc w:val="center"/>
        <w:rPr>
          <w:rFonts w:ascii="仿宋_GB2312" w:eastAsia="仿宋_GB2312" w:hAnsi="宋体"/>
          <w:b/>
          <w:sz w:val="52"/>
          <w:szCs w:val="52"/>
        </w:rPr>
      </w:pPr>
      <w:r>
        <w:rPr>
          <w:rFonts w:ascii="仿宋_GB2312" w:eastAsia="仿宋_GB2312" w:hAnsi="宋体" w:hint="eastAsia"/>
          <w:b/>
          <w:sz w:val="52"/>
          <w:szCs w:val="52"/>
        </w:rPr>
        <w:t>长春大学旅游学院</w:t>
      </w:r>
    </w:p>
    <w:p w:rsidR="003D2032" w:rsidRPr="004827D4" w:rsidRDefault="0048623E" w:rsidP="0048623E">
      <w:pPr>
        <w:jc w:val="center"/>
        <w:rPr>
          <w:rFonts w:ascii="仿宋_GB2312" w:eastAsia="仿宋_GB2312" w:hAnsi="宋体"/>
          <w:b/>
          <w:sz w:val="52"/>
          <w:szCs w:val="52"/>
        </w:rPr>
      </w:pPr>
      <w:r w:rsidRPr="004827D4">
        <w:rPr>
          <w:rFonts w:ascii="仿宋_GB2312" w:eastAsia="仿宋_GB2312" w:hAnsi="宋体" w:hint="eastAsia"/>
          <w:b/>
          <w:sz w:val="52"/>
          <w:szCs w:val="52"/>
        </w:rPr>
        <w:t>二</w:t>
      </w:r>
      <w:proofErr w:type="gramStart"/>
      <w:r w:rsidRPr="004827D4">
        <w:rPr>
          <w:rFonts w:ascii="仿宋_GB2312" w:eastAsia="仿宋_GB2312" w:hAnsi="宋体" w:hint="eastAsia"/>
          <w:b/>
          <w:sz w:val="52"/>
          <w:szCs w:val="52"/>
        </w:rPr>
        <w:t>0</w:t>
      </w:r>
      <w:r w:rsidR="007A301F" w:rsidRPr="004827D4">
        <w:rPr>
          <w:rFonts w:ascii="仿宋_GB2312" w:eastAsia="仿宋_GB2312" w:hAnsi="宋体" w:hint="eastAsia"/>
          <w:b/>
          <w:sz w:val="52"/>
          <w:szCs w:val="52"/>
        </w:rPr>
        <w:t>一六</w:t>
      </w:r>
      <w:proofErr w:type="gramEnd"/>
      <w:r w:rsidR="007A301F" w:rsidRPr="004827D4">
        <w:rPr>
          <w:rFonts w:ascii="仿宋_GB2312" w:eastAsia="仿宋_GB2312" w:hAnsi="宋体" w:hint="eastAsia"/>
          <w:b/>
          <w:sz w:val="52"/>
          <w:szCs w:val="52"/>
        </w:rPr>
        <w:t>年十一月</w:t>
      </w:r>
    </w:p>
    <w:p w:rsidR="004827D4" w:rsidRPr="000B6F32" w:rsidRDefault="004827D4" w:rsidP="00476352">
      <w:pPr>
        <w:jc w:val="left"/>
        <w:rPr>
          <w:rFonts w:ascii="隶书" w:eastAsia="隶书" w:hAnsi="宋体"/>
          <w:b/>
          <w:sz w:val="44"/>
          <w:szCs w:val="44"/>
        </w:rPr>
      </w:pPr>
    </w:p>
    <w:p w:rsidR="00042EB5" w:rsidRDefault="00042EB5">
      <w:pPr>
        <w:spacing w:line="600" w:lineRule="exact"/>
        <w:jc w:val="center"/>
        <w:rPr>
          <w:rFonts w:ascii="宋体" w:hAnsi="宋体" w:cs="宋体"/>
          <w:b/>
          <w:sz w:val="44"/>
          <w:szCs w:val="44"/>
        </w:rPr>
      </w:pPr>
    </w:p>
    <w:p w:rsidR="00042EB5" w:rsidRDefault="007A301F" w:rsidP="00042EB5">
      <w:pPr>
        <w:spacing w:line="600" w:lineRule="exact"/>
        <w:jc w:val="center"/>
        <w:rPr>
          <w:rFonts w:ascii="宋体" w:hAnsi="宋体" w:cs="宋体"/>
          <w:b/>
          <w:sz w:val="44"/>
          <w:szCs w:val="44"/>
        </w:rPr>
      </w:pPr>
      <w:r>
        <w:rPr>
          <w:rFonts w:ascii="宋体" w:hAnsi="宋体" w:cs="宋体" w:hint="eastAsia"/>
          <w:b/>
          <w:sz w:val="44"/>
          <w:szCs w:val="44"/>
        </w:rPr>
        <w:t>长春大学旅游学院</w:t>
      </w:r>
    </w:p>
    <w:p w:rsidR="003D2032" w:rsidRDefault="007A301F">
      <w:pPr>
        <w:spacing w:line="600" w:lineRule="exact"/>
        <w:jc w:val="center"/>
        <w:rPr>
          <w:rFonts w:ascii="宋体" w:hAnsi="宋体"/>
          <w:b/>
          <w:sz w:val="44"/>
          <w:szCs w:val="44"/>
        </w:rPr>
      </w:pPr>
      <w:r>
        <w:rPr>
          <w:rFonts w:ascii="宋体" w:hAnsi="宋体" w:cs="宋体" w:hint="eastAsia"/>
          <w:b/>
          <w:sz w:val="44"/>
          <w:szCs w:val="44"/>
        </w:rPr>
        <w:t>2015年度本科教学质量报告</w:t>
      </w:r>
    </w:p>
    <w:p w:rsidR="003D2032" w:rsidRDefault="003D2032">
      <w:pPr>
        <w:spacing w:line="600" w:lineRule="exact"/>
        <w:rPr>
          <w:rFonts w:ascii="仿宋_GB2312" w:eastAsia="仿宋_GB2312"/>
          <w:sz w:val="32"/>
          <w:szCs w:val="32"/>
        </w:rPr>
      </w:pPr>
    </w:p>
    <w:p w:rsidR="003D2032" w:rsidRDefault="007A301F">
      <w:pPr>
        <w:spacing w:line="600" w:lineRule="exact"/>
        <w:ind w:firstLineChars="200" w:firstLine="640"/>
        <w:rPr>
          <w:rFonts w:ascii="仿宋_GB2312" w:eastAsia="仿宋_GB2312" w:hAnsi="仿宋" w:cs="仿宋"/>
          <w:color w:val="FF0000"/>
          <w:sz w:val="32"/>
          <w:szCs w:val="32"/>
        </w:rPr>
      </w:pPr>
      <w:r>
        <w:rPr>
          <w:rFonts w:ascii="仿宋_GB2312" w:eastAsia="仿宋_GB2312" w:hAnsi="仿宋" w:cs="仿宋" w:hint="eastAsia"/>
          <w:sz w:val="32"/>
          <w:szCs w:val="32"/>
        </w:rPr>
        <w:t>2015年是“十二五”收官之年，本年度长春大学旅游学院继续深入贯彻落实《国家中长期教育改革和发展规划纲要（2010-2020年）》和</w:t>
      </w:r>
      <w:r>
        <w:rPr>
          <w:rFonts w:ascii="仿宋_GB2312" w:eastAsia="仿宋_GB2312" w:hAnsi="仿宋" w:cs="仿宋" w:hint="eastAsia"/>
          <w:bCs/>
          <w:sz w:val="32"/>
          <w:szCs w:val="32"/>
        </w:rPr>
        <w:t>《中共吉林省委、吉林省政府关于建设高等教育强省的意见》文件精神</w:t>
      </w:r>
      <w:r>
        <w:rPr>
          <w:rFonts w:ascii="仿宋_GB2312" w:eastAsia="仿宋_GB2312" w:hAnsi="仿宋" w:cs="仿宋" w:hint="eastAsia"/>
          <w:sz w:val="32"/>
          <w:szCs w:val="32"/>
        </w:rPr>
        <w:t>，紧紧围绕学院教学工作中心和重点，在学院领导班子的带领下，狠抓学科专业建设、师资队伍建设、质量工程和教学管理工作、进一步提高我院本科教学质量和教育教学水平，不断强化特色办学，加快教育教学改革步伐，夯实专业建设基础，教育教学工作取得良好成效。</w:t>
      </w:r>
    </w:p>
    <w:p w:rsidR="003D2032" w:rsidRDefault="007A301F">
      <w:pPr>
        <w:spacing w:line="600" w:lineRule="exact"/>
        <w:ind w:firstLineChars="200" w:firstLine="640"/>
        <w:rPr>
          <w:rFonts w:ascii="黑体" w:eastAsia="黑体"/>
          <w:sz w:val="32"/>
          <w:szCs w:val="32"/>
        </w:rPr>
      </w:pPr>
      <w:r>
        <w:rPr>
          <w:rFonts w:ascii="黑体" w:eastAsia="黑体" w:hint="eastAsia"/>
          <w:sz w:val="32"/>
          <w:szCs w:val="32"/>
        </w:rPr>
        <w:t>一、本科教育基本概况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坚持全面贯彻党和国家的教育方针，坚持社会主义办学方向，全面推进素质教育。坚持以学生为本，以教育质量求生存，以办学特色求发展，以就业需要为导向，以严格管理为手段，以专业建设为龙头，以教学改革为核心，狠抓教学质量始终不放，下大气力充实和完善办学条件，不断增强办学实力和竞争力，</w:t>
      </w:r>
      <w:r w:rsidR="002D6C38">
        <w:rPr>
          <w:rFonts w:ascii="仿宋_GB2312" w:eastAsia="仿宋_GB2312" w:hint="eastAsia"/>
          <w:sz w:val="32"/>
          <w:szCs w:val="32"/>
        </w:rPr>
        <w:t>谋求规模、结构、质量、效益协调发展，</w:t>
      </w:r>
      <w:r>
        <w:rPr>
          <w:rFonts w:ascii="仿宋_GB2312" w:eastAsia="仿宋_GB2312" w:hint="eastAsia"/>
          <w:sz w:val="32"/>
          <w:szCs w:val="32"/>
        </w:rPr>
        <w:t>努力把学院办成定位准确，综合实力较强，社会认可、</w:t>
      </w:r>
      <w:r w:rsidR="006F72A1">
        <w:rPr>
          <w:rFonts w:ascii="仿宋_GB2312" w:eastAsia="仿宋_GB2312" w:hint="eastAsia"/>
          <w:sz w:val="32"/>
          <w:szCs w:val="32"/>
        </w:rPr>
        <w:t>特色鲜明，国内有影响的</w:t>
      </w:r>
      <w:r w:rsidR="002D6C38">
        <w:rPr>
          <w:rFonts w:ascii="仿宋_GB2312" w:eastAsia="仿宋_GB2312" w:hint="eastAsia"/>
          <w:sz w:val="32"/>
          <w:szCs w:val="32"/>
        </w:rPr>
        <w:t>以旅游人才培养为特色的独立学院。</w:t>
      </w: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（一）人才培养目标与服务面向</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学院定位为教学型，以本科层次为主，积极</w:t>
      </w:r>
      <w:r>
        <w:rPr>
          <w:rFonts w:ascii="仿宋_GB2312" w:eastAsia="仿宋_GB2312" w:hAnsi="仿宋" w:cs="Tahoma" w:hint="eastAsia"/>
          <w:bCs/>
          <w:sz w:val="32"/>
          <w:szCs w:val="32"/>
        </w:rPr>
        <w:t>争取硕士研究生</w:t>
      </w:r>
      <w:r>
        <w:rPr>
          <w:rFonts w:ascii="仿宋_GB2312" w:eastAsia="仿宋_GB2312" w:hAnsi="仿宋" w:cs="Tahoma" w:hint="eastAsia"/>
          <w:bCs/>
          <w:sz w:val="32"/>
          <w:szCs w:val="32"/>
        </w:rPr>
        <w:lastRenderedPageBreak/>
        <w:t>培养资格</w:t>
      </w:r>
      <w:r>
        <w:rPr>
          <w:rFonts w:ascii="仿宋_GB2312" w:eastAsia="仿宋_GB2312" w:hint="eastAsia"/>
          <w:sz w:val="32"/>
          <w:szCs w:val="32"/>
        </w:rPr>
        <w:t>。立足吉林，面向全国，主要为国家、吉林省地方经济建设和社会发展服务，培养基础理论扎实、社会实践能力强、综合素质高的应用型专门人才。</w:t>
      </w:r>
    </w:p>
    <w:p w:rsidR="003D2032" w:rsidRPr="006000E0" w:rsidRDefault="007A301F" w:rsidP="006000E0">
      <w:pPr>
        <w:spacing w:line="600" w:lineRule="exact"/>
        <w:ind w:firstLineChars="200" w:firstLine="643"/>
        <w:rPr>
          <w:rFonts w:ascii="楷体_GB2312" w:eastAsia="楷体_GB2312" w:hAnsi="楷体" w:cs="楷体"/>
          <w:b/>
          <w:sz w:val="32"/>
          <w:szCs w:val="32"/>
        </w:rPr>
      </w:pPr>
      <w:r w:rsidRPr="006000E0">
        <w:rPr>
          <w:rFonts w:ascii="楷体_GB2312" w:eastAsia="楷体_GB2312" w:hAnsi="楷体" w:cs="楷体" w:hint="eastAsia"/>
          <w:b/>
          <w:sz w:val="32"/>
          <w:szCs w:val="32"/>
        </w:rPr>
        <w:t>（二）本科专业设置情况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学院现有本科专业26个，其中2015</w:t>
      </w:r>
      <w:r w:rsidR="00D61657">
        <w:rPr>
          <w:rFonts w:ascii="仿宋_GB2312" w:eastAsia="仿宋_GB2312" w:hint="eastAsia"/>
          <w:sz w:val="32"/>
          <w:szCs w:val="32"/>
        </w:rPr>
        <w:t>年新增土木工程和人力资源管理</w:t>
      </w:r>
      <w:r>
        <w:rPr>
          <w:rFonts w:ascii="仿宋_GB2312" w:eastAsia="仿宋_GB2312" w:hint="eastAsia"/>
          <w:sz w:val="32"/>
          <w:szCs w:val="32"/>
        </w:rPr>
        <w:t>本科招生专业2个，专科专业6个，专业设置涵盖经济学、文学、工学、管理学和艺术学五大学科门类（见表1）。</w:t>
      </w:r>
    </w:p>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表</w:t>
      </w:r>
      <w:r w:rsidR="002A73B8">
        <w:rPr>
          <w:rFonts w:ascii="仿宋_GB2312" w:eastAsia="仿宋_GB2312" w:hint="eastAsia"/>
          <w:sz w:val="32"/>
          <w:szCs w:val="32"/>
        </w:rPr>
        <w:t>1.</w:t>
      </w:r>
      <w:r>
        <w:rPr>
          <w:rFonts w:ascii="仿宋_GB2312" w:eastAsia="仿宋_GB2312" w:hint="eastAsia"/>
          <w:sz w:val="32"/>
          <w:szCs w:val="32"/>
        </w:rPr>
        <w:t>长春大学旅游学院本科专业设置情况表</w:t>
      </w:r>
    </w:p>
    <w:tbl>
      <w:tblPr>
        <w:tblW w:w="10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974"/>
        <w:gridCol w:w="775"/>
        <w:gridCol w:w="2220"/>
        <w:gridCol w:w="709"/>
        <w:gridCol w:w="1276"/>
        <w:gridCol w:w="2268"/>
        <w:gridCol w:w="1275"/>
      </w:tblGrid>
      <w:tr w:rsidR="003D2032" w:rsidTr="007A301F">
        <w:trPr>
          <w:trHeight w:val="392"/>
          <w:jc w:val="center"/>
        </w:trPr>
        <w:tc>
          <w:tcPr>
            <w:tcW w:w="1551" w:type="dxa"/>
            <w:gridSpan w:val="2"/>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学科门类</w:t>
            </w:r>
          </w:p>
        </w:tc>
        <w:tc>
          <w:tcPr>
            <w:tcW w:w="2995" w:type="dxa"/>
            <w:gridSpan w:val="2"/>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专业类别</w:t>
            </w:r>
          </w:p>
        </w:tc>
        <w:tc>
          <w:tcPr>
            <w:tcW w:w="5528" w:type="dxa"/>
            <w:gridSpan w:val="4"/>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专   业</w:t>
            </w:r>
          </w:p>
        </w:tc>
      </w:tr>
      <w:tr w:rsidR="003D2032" w:rsidTr="007A301F">
        <w:trPr>
          <w:trHeight w:val="894"/>
          <w:jc w:val="center"/>
        </w:trPr>
        <w:tc>
          <w:tcPr>
            <w:tcW w:w="577" w:type="dxa"/>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代码</w:t>
            </w:r>
          </w:p>
        </w:tc>
        <w:tc>
          <w:tcPr>
            <w:tcW w:w="974" w:type="dxa"/>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名称</w:t>
            </w:r>
          </w:p>
        </w:tc>
        <w:tc>
          <w:tcPr>
            <w:tcW w:w="775" w:type="dxa"/>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代码</w:t>
            </w:r>
          </w:p>
        </w:tc>
        <w:tc>
          <w:tcPr>
            <w:tcW w:w="2220" w:type="dxa"/>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专业类别</w:t>
            </w:r>
          </w:p>
        </w:tc>
        <w:tc>
          <w:tcPr>
            <w:tcW w:w="709" w:type="dxa"/>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序号</w:t>
            </w:r>
          </w:p>
        </w:tc>
        <w:tc>
          <w:tcPr>
            <w:tcW w:w="1276" w:type="dxa"/>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代码</w:t>
            </w:r>
          </w:p>
        </w:tc>
        <w:tc>
          <w:tcPr>
            <w:tcW w:w="2268" w:type="dxa"/>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名称</w:t>
            </w:r>
          </w:p>
        </w:tc>
        <w:tc>
          <w:tcPr>
            <w:tcW w:w="1275" w:type="dxa"/>
            <w:vAlign w:val="center"/>
          </w:tcPr>
          <w:p w:rsidR="003D2032" w:rsidRDefault="007A301F">
            <w:pPr>
              <w:spacing w:line="600" w:lineRule="exact"/>
              <w:jc w:val="center"/>
              <w:rPr>
                <w:rFonts w:ascii="仿宋_GB2312" w:eastAsia="仿宋_GB2312"/>
                <w:b/>
                <w:sz w:val="24"/>
                <w:szCs w:val="24"/>
              </w:rPr>
            </w:pPr>
            <w:r>
              <w:rPr>
                <w:rFonts w:ascii="仿宋_GB2312" w:eastAsia="仿宋_GB2312" w:hint="eastAsia"/>
                <w:b/>
                <w:sz w:val="24"/>
                <w:szCs w:val="24"/>
              </w:rPr>
              <w:t>备注</w:t>
            </w:r>
          </w:p>
        </w:tc>
      </w:tr>
      <w:tr w:rsidR="003D2032" w:rsidTr="006000E0">
        <w:trPr>
          <w:trHeight w:val="627"/>
          <w:jc w:val="center"/>
        </w:trPr>
        <w:tc>
          <w:tcPr>
            <w:tcW w:w="577" w:type="dxa"/>
            <w:vMerge w:val="restart"/>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02</w:t>
            </w:r>
          </w:p>
        </w:tc>
        <w:tc>
          <w:tcPr>
            <w:tcW w:w="974" w:type="dxa"/>
            <w:vMerge w:val="restart"/>
            <w:vAlign w:val="center"/>
          </w:tcPr>
          <w:p w:rsidR="003D2032" w:rsidRDefault="007A301F" w:rsidP="007A301F">
            <w:pPr>
              <w:spacing w:line="600" w:lineRule="exact"/>
              <w:jc w:val="center"/>
              <w:rPr>
                <w:rFonts w:ascii="仿宋_GB2312" w:eastAsia="仿宋_GB2312"/>
                <w:sz w:val="24"/>
                <w:szCs w:val="24"/>
              </w:rPr>
            </w:pPr>
            <w:r>
              <w:rPr>
                <w:rFonts w:ascii="仿宋_GB2312" w:eastAsia="仿宋_GB2312" w:hint="eastAsia"/>
                <w:sz w:val="24"/>
                <w:szCs w:val="24"/>
              </w:rPr>
              <w:t>经济学</w:t>
            </w:r>
          </w:p>
        </w:tc>
        <w:tc>
          <w:tcPr>
            <w:tcW w:w="775"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0203</w:t>
            </w:r>
          </w:p>
        </w:tc>
        <w:tc>
          <w:tcPr>
            <w:tcW w:w="2220"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金融学类</w:t>
            </w: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1</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020301K</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金融学</w:t>
            </w:r>
          </w:p>
        </w:tc>
        <w:tc>
          <w:tcPr>
            <w:tcW w:w="1275" w:type="dxa"/>
            <w:vAlign w:val="center"/>
          </w:tcPr>
          <w:p w:rsidR="003D2032" w:rsidRDefault="003D2032">
            <w:pPr>
              <w:spacing w:line="600" w:lineRule="exact"/>
              <w:jc w:val="center"/>
              <w:rPr>
                <w:rFonts w:ascii="仿宋_GB2312" w:eastAsia="仿宋_GB2312"/>
                <w:sz w:val="24"/>
                <w:szCs w:val="24"/>
              </w:rPr>
            </w:pPr>
          </w:p>
        </w:tc>
      </w:tr>
      <w:tr w:rsidR="003D2032" w:rsidTr="007A301F">
        <w:trPr>
          <w:trHeight w:val="277"/>
          <w:jc w:val="center"/>
        </w:trPr>
        <w:tc>
          <w:tcPr>
            <w:tcW w:w="577" w:type="dxa"/>
            <w:vMerge/>
            <w:vAlign w:val="center"/>
          </w:tcPr>
          <w:p w:rsidR="003D2032" w:rsidRDefault="003D2032">
            <w:pPr>
              <w:spacing w:line="600" w:lineRule="exact"/>
              <w:jc w:val="center"/>
              <w:rPr>
                <w:rFonts w:ascii="仿宋_GB2312" w:eastAsia="仿宋_GB2312"/>
                <w:sz w:val="24"/>
                <w:szCs w:val="24"/>
              </w:rPr>
            </w:pPr>
          </w:p>
        </w:tc>
        <w:tc>
          <w:tcPr>
            <w:tcW w:w="974" w:type="dxa"/>
            <w:vMerge/>
            <w:vAlign w:val="center"/>
          </w:tcPr>
          <w:p w:rsidR="003D2032" w:rsidRDefault="003D2032">
            <w:pPr>
              <w:spacing w:line="600" w:lineRule="exact"/>
              <w:jc w:val="center"/>
              <w:rPr>
                <w:rFonts w:ascii="仿宋_GB2312" w:eastAsia="仿宋_GB2312"/>
                <w:sz w:val="24"/>
                <w:szCs w:val="24"/>
              </w:rPr>
            </w:pPr>
          </w:p>
        </w:tc>
        <w:tc>
          <w:tcPr>
            <w:tcW w:w="775"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0204</w:t>
            </w:r>
          </w:p>
        </w:tc>
        <w:tc>
          <w:tcPr>
            <w:tcW w:w="2220"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经济与贸易类</w:t>
            </w: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2</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020401</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国际经济与贸易</w:t>
            </w:r>
          </w:p>
        </w:tc>
        <w:tc>
          <w:tcPr>
            <w:tcW w:w="1275" w:type="dxa"/>
            <w:vAlign w:val="center"/>
          </w:tcPr>
          <w:p w:rsidR="003D2032" w:rsidRDefault="003D2032">
            <w:pPr>
              <w:spacing w:line="600" w:lineRule="exact"/>
              <w:jc w:val="center"/>
              <w:rPr>
                <w:rFonts w:ascii="仿宋_GB2312" w:eastAsia="仿宋_GB2312"/>
                <w:sz w:val="24"/>
                <w:szCs w:val="24"/>
              </w:rPr>
            </w:pPr>
          </w:p>
        </w:tc>
      </w:tr>
      <w:tr w:rsidR="003D2032" w:rsidTr="007A301F">
        <w:trPr>
          <w:trHeight w:val="337"/>
          <w:jc w:val="center"/>
        </w:trPr>
        <w:tc>
          <w:tcPr>
            <w:tcW w:w="577" w:type="dxa"/>
            <w:vMerge w:val="restart"/>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w:t>
            </w:r>
          </w:p>
        </w:tc>
        <w:tc>
          <w:tcPr>
            <w:tcW w:w="974" w:type="dxa"/>
            <w:vMerge w:val="restart"/>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文学</w:t>
            </w:r>
          </w:p>
        </w:tc>
        <w:tc>
          <w:tcPr>
            <w:tcW w:w="775"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0501</w:t>
            </w:r>
          </w:p>
        </w:tc>
        <w:tc>
          <w:tcPr>
            <w:tcW w:w="2220"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中国语言文学类</w:t>
            </w: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3</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050103</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汉语国际教育</w:t>
            </w:r>
          </w:p>
        </w:tc>
        <w:tc>
          <w:tcPr>
            <w:tcW w:w="1275" w:type="dxa"/>
            <w:vAlign w:val="center"/>
          </w:tcPr>
          <w:p w:rsidR="003D2032" w:rsidRDefault="003D2032">
            <w:pPr>
              <w:spacing w:line="600" w:lineRule="exact"/>
              <w:jc w:val="center"/>
              <w:rPr>
                <w:rFonts w:ascii="仿宋_GB2312" w:eastAsia="仿宋_GB2312"/>
                <w:sz w:val="24"/>
                <w:szCs w:val="24"/>
              </w:rPr>
            </w:pPr>
          </w:p>
        </w:tc>
      </w:tr>
      <w:tr w:rsidR="003D2032" w:rsidTr="007A301F">
        <w:trPr>
          <w:trHeight w:val="305"/>
          <w:jc w:val="center"/>
        </w:trPr>
        <w:tc>
          <w:tcPr>
            <w:tcW w:w="577" w:type="dxa"/>
            <w:vMerge/>
            <w:vAlign w:val="center"/>
          </w:tcPr>
          <w:p w:rsidR="003D2032" w:rsidRDefault="003D2032">
            <w:pPr>
              <w:spacing w:line="600" w:lineRule="exact"/>
              <w:jc w:val="center"/>
              <w:rPr>
                <w:rFonts w:ascii="仿宋_GB2312" w:eastAsia="仿宋_GB2312"/>
                <w:sz w:val="24"/>
                <w:szCs w:val="24"/>
              </w:rPr>
            </w:pPr>
          </w:p>
        </w:tc>
        <w:tc>
          <w:tcPr>
            <w:tcW w:w="974" w:type="dxa"/>
            <w:vMerge/>
            <w:vAlign w:val="center"/>
          </w:tcPr>
          <w:p w:rsidR="003D2032" w:rsidRDefault="003D2032">
            <w:pPr>
              <w:spacing w:line="600" w:lineRule="exact"/>
              <w:jc w:val="center"/>
              <w:rPr>
                <w:rFonts w:ascii="仿宋_GB2312" w:eastAsia="仿宋_GB2312"/>
                <w:sz w:val="24"/>
                <w:szCs w:val="24"/>
              </w:rPr>
            </w:pPr>
          </w:p>
        </w:tc>
        <w:tc>
          <w:tcPr>
            <w:tcW w:w="775" w:type="dxa"/>
            <w:vMerge w:val="restart"/>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0502</w:t>
            </w:r>
          </w:p>
        </w:tc>
        <w:tc>
          <w:tcPr>
            <w:tcW w:w="2220" w:type="dxa"/>
            <w:vMerge w:val="restart"/>
            <w:vAlign w:val="center"/>
          </w:tcPr>
          <w:p w:rsidR="003D2032" w:rsidRDefault="007A301F" w:rsidP="007A301F">
            <w:pPr>
              <w:spacing w:line="600" w:lineRule="exact"/>
              <w:jc w:val="center"/>
              <w:rPr>
                <w:rFonts w:ascii="仿宋_GB2312" w:eastAsia="仿宋_GB2312"/>
                <w:sz w:val="24"/>
                <w:szCs w:val="24"/>
              </w:rPr>
            </w:pPr>
            <w:r>
              <w:rPr>
                <w:rFonts w:ascii="仿宋_GB2312" w:eastAsia="仿宋_GB2312" w:hint="eastAsia"/>
                <w:sz w:val="24"/>
                <w:szCs w:val="24"/>
              </w:rPr>
              <w:t>外国语言文学类</w:t>
            </w: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4</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050201</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英语</w:t>
            </w:r>
          </w:p>
        </w:tc>
        <w:tc>
          <w:tcPr>
            <w:tcW w:w="1275" w:type="dxa"/>
            <w:vAlign w:val="center"/>
          </w:tcPr>
          <w:p w:rsidR="003D2032" w:rsidRDefault="003D2032">
            <w:pPr>
              <w:spacing w:line="600" w:lineRule="exact"/>
              <w:jc w:val="center"/>
              <w:rPr>
                <w:rFonts w:ascii="仿宋_GB2312" w:eastAsia="仿宋_GB2312"/>
                <w:sz w:val="24"/>
                <w:szCs w:val="24"/>
              </w:rPr>
            </w:pPr>
          </w:p>
        </w:tc>
      </w:tr>
      <w:tr w:rsidR="003D2032" w:rsidTr="007A301F">
        <w:trPr>
          <w:trHeight w:val="379"/>
          <w:jc w:val="center"/>
        </w:trPr>
        <w:tc>
          <w:tcPr>
            <w:tcW w:w="577" w:type="dxa"/>
            <w:vMerge/>
            <w:vAlign w:val="center"/>
          </w:tcPr>
          <w:p w:rsidR="003D2032" w:rsidRDefault="003D2032">
            <w:pPr>
              <w:spacing w:line="600" w:lineRule="exact"/>
              <w:jc w:val="center"/>
              <w:rPr>
                <w:rFonts w:ascii="仿宋_GB2312" w:eastAsia="仿宋_GB2312"/>
                <w:sz w:val="24"/>
                <w:szCs w:val="24"/>
              </w:rPr>
            </w:pPr>
          </w:p>
        </w:tc>
        <w:tc>
          <w:tcPr>
            <w:tcW w:w="974" w:type="dxa"/>
            <w:vMerge/>
            <w:vAlign w:val="center"/>
          </w:tcPr>
          <w:p w:rsidR="003D2032" w:rsidRDefault="003D2032">
            <w:pPr>
              <w:spacing w:line="600" w:lineRule="exact"/>
              <w:jc w:val="center"/>
              <w:rPr>
                <w:rFonts w:ascii="仿宋_GB2312" w:eastAsia="仿宋_GB2312"/>
                <w:sz w:val="24"/>
                <w:szCs w:val="24"/>
              </w:rPr>
            </w:pPr>
          </w:p>
        </w:tc>
        <w:tc>
          <w:tcPr>
            <w:tcW w:w="775" w:type="dxa"/>
            <w:vMerge/>
            <w:vAlign w:val="center"/>
          </w:tcPr>
          <w:p w:rsidR="003D2032" w:rsidRDefault="003D2032">
            <w:pPr>
              <w:spacing w:line="600" w:lineRule="exact"/>
              <w:jc w:val="center"/>
              <w:rPr>
                <w:rFonts w:ascii="仿宋_GB2312" w:eastAsia="仿宋_GB2312"/>
                <w:sz w:val="24"/>
                <w:szCs w:val="24"/>
              </w:rPr>
            </w:pPr>
          </w:p>
        </w:tc>
        <w:tc>
          <w:tcPr>
            <w:tcW w:w="2220" w:type="dxa"/>
            <w:vMerge/>
            <w:vAlign w:val="center"/>
          </w:tcPr>
          <w:p w:rsidR="003D2032" w:rsidRDefault="003D2032">
            <w:pPr>
              <w:spacing w:line="600" w:lineRule="exact"/>
              <w:jc w:val="center"/>
              <w:rPr>
                <w:rFonts w:ascii="仿宋_GB2312" w:eastAsia="仿宋_GB2312"/>
                <w:sz w:val="24"/>
                <w:szCs w:val="24"/>
              </w:rPr>
            </w:pP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5</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050202</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俄语</w:t>
            </w:r>
          </w:p>
        </w:tc>
        <w:tc>
          <w:tcPr>
            <w:tcW w:w="1275" w:type="dxa"/>
            <w:vAlign w:val="center"/>
          </w:tcPr>
          <w:p w:rsidR="003D2032" w:rsidRDefault="003D2032">
            <w:pPr>
              <w:spacing w:line="600" w:lineRule="exact"/>
              <w:jc w:val="center"/>
              <w:rPr>
                <w:rFonts w:ascii="仿宋_GB2312" w:eastAsia="仿宋_GB2312"/>
                <w:sz w:val="24"/>
                <w:szCs w:val="24"/>
              </w:rPr>
            </w:pPr>
          </w:p>
        </w:tc>
      </w:tr>
      <w:tr w:rsidR="003D2032" w:rsidTr="007A301F">
        <w:trPr>
          <w:trHeight w:val="285"/>
          <w:jc w:val="center"/>
        </w:trPr>
        <w:tc>
          <w:tcPr>
            <w:tcW w:w="577" w:type="dxa"/>
            <w:vMerge/>
            <w:vAlign w:val="center"/>
          </w:tcPr>
          <w:p w:rsidR="003D2032" w:rsidRDefault="003D2032">
            <w:pPr>
              <w:spacing w:line="600" w:lineRule="exact"/>
              <w:jc w:val="center"/>
              <w:rPr>
                <w:rFonts w:ascii="仿宋_GB2312" w:eastAsia="仿宋_GB2312"/>
                <w:sz w:val="24"/>
                <w:szCs w:val="24"/>
              </w:rPr>
            </w:pPr>
          </w:p>
        </w:tc>
        <w:tc>
          <w:tcPr>
            <w:tcW w:w="974" w:type="dxa"/>
            <w:vMerge/>
            <w:vAlign w:val="center"/>
          </w:tcPr>
          <w:p w:rsidR="003D2032" w:rsidRDefault="003D2032">
            <w:pPr>
              <w:spacing w:line="600" w:lineRule="exact"/>
              <w:jc w:val="center"/>
              <w:rPr>
                <w:rFonts w:ascii="仿宋_GB2312" w:eastAsia="仿宋_GB2312"/>
                <w:sz w:val="24"/>
                <w:szCs w:val="24"/>
              </w:rPr>
            </w:pPr>
          </w:p>
        </w:tc>
        <w:tc>
          <w:tcPr>
            <w:tcW w:w="775" w:type="dxa"/>
            <w:vMerge/>
            <w:vAlign w:val="center"/>
          </w:tcPr>
          <w:p w:rsidR="003D2032" w:rsidRDefault="003D2032">
            <w:pPr>
              <w:spacing w:line="600" w:lineRule="exact"/>
              <w:jc w:val="center"/>
              <w:rPr>
                <w:rFonts w:ascii="仿宋_GB2312" w:eastAsia="仿宋_GB2312"/>
                <w:sz w:val="24"/>
                <w:szCs w:val="24"/>
              </w:rPr>
            </w:pPr>
          </w:p>
        </w:tc>
        <w:tc>
          <w:tcPr>
            <w:tcW w:w="2220" w:type="dxa"/>
            <w:vMerge/>
            <w:vAlign w:val="center"/>
          </w:tcPr>
          <w:p w:rsidR="003D2032" w:rsidRDefault="003D2032">
            <w:pPr>
              <w:spacing w:line="600" w:lineRule="exact"/>
              <w:jc w:val="center"/>
              <w:rPr>
                <w:rFonts w:ascii="仿宋_GB2312" w:eastAsia="仿宋_GB2312"/>
                <w:sz w:val="24"/>
                <w:szCs w:val="24"/>
              </w:rPr>
            </w:pP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6</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050207</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日语</w:t>
            </w:r>
          </w:p>
        </w:tc>
        <w:tc>
          <w:tcPr>
            <w:tcW w:w="1275" w:type="dxa"/>
            <w:vAlign w:val="center"/>
          </w:tcPr>
          <w:p w:rsidR="003D2032" w:rsidRDefault="003D2032">
            <w:pPr>
              <w:spacing w:line="600" w:lineRule="exact"/>
              <w:jc w:val="center"/>
              <w:rPr>
                <w:rFonts w:ascii="仿宋_GB2312" w:eastAsia="仿宋_GB2312"/>
                <w:sz w:val="24"/>
                <w:szCs w:val="24"/>
              </w:rPr>
            </w:pPr>
          </w:p>
        </w:tc>
      </w:tr>
      <w:tr w:rsidR="003D2032" w:rsidTr="007A301F">
        <w:trPr>
          <w:trHeight w:val="285"/>
          <w:jc w:val="center"/>
        </w:trPr>
        <w:tc>
          <w:tcPr>
            <w:tcW w:w="577" w:type="dxa"/>
            <w:vMerge/>
            <w:vAlign w:val="center"/>
          </w:tcPr>
          <w:p w:rsidR="003D2032" w:rsidRDefault="003D2032">
            <w:pPr>
              <w:spacing w:line="600" w:lineRule="exact"/>
              <w:jc w:val="center"/>
              <w:rPr>
                <w:rFonts w:ascii="仿宋_GB2312" w:eastAsia="仿宋_GB2312"/>
                <w:sz w:val="24"/>
                <w:szCs w:val="24"/>
              </w:rPr>
            </w:pPr>
          </w:p>
        </w:tc>
        <w:tc>
          <w:tcPr>
            <w:tcW w:w="974" w:type="dxa"/>
            <w:vMerge/>
            <w:vAlign w:val="center"/>
          </w:tcPr>
          <w:p w:rsidR="003D2032" w:rsidRDefault="003D2032">
            <w:pPr>
              <w:spacing w:line="600" w:lineRule="exact"/>
              <w:jc w:val="center"/>
              <w:rPr>
                <w:rFonts w:ascii="仿宋_GB2312" w:eastAsia="仿宋_GB2312"/>
                <w:sz w:val="24"/>
                <w:szCs w:val="24"/>
              </w:rPr>
            </w:pPr>
          </w:p>
        </w:tc>
        <w:tc>
          <w:tcPr>
            <w:tcW w:w="775" w:type="dxa"/>
            <w:vMerge/>
            <w:vAlign w:val="center"/>
          </w:tcPr>
          <w:p w:rsidR="003D2032" w:rsidRDefault="003D2032">
            <w:pPr>
              <w:spacing w:line="600" w:lineRule="exact"/>
              <w:jc w:val="center"/>
              <w:rPr>
                <w:rFonts w:ascii="仿宋_GB2312" w:eastAsia="仿宋_GB2312"/>
                <w:sz w:val="24"/>
                <w:szCs w:val="24"/>
              </w:rPr>
            </w:pPr>
          </w:p>
        </w:tc>
        <w:tc>
          <w:tcPr>
            <w:tcW w:w="2220" w:type="dxa"/>
            <w:vMerge/>
            <w:vAlign w:val="center"/>
          </w:tcPr>
          <w:p w:rsidR="003D2032" w:rsidRDefault="003D2032">
            <w:pPr>
              <w:spacing w:line="600" w:lineRule="exact"/>
              <w:jc w:val="center"/>
              <w:rPr>
                <w:rFonts w:ascii="仿宋_GB2312" w:eastAsia="仿宋_GB2312"/>
                <w:sz w:val="24"/>
                <w:szCs w:val="24"/>
              </w:rPr>
            </w:pP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7</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050209</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朝鲜语</w:t>
            </w:r>
          </w:p>
        </w:tc>
        <w:tc>
          <w:tcPr>
            <w:tcW w:w="1275" w:type="dxa"/>
            <w:vAlign w:val="center"/>
          </w:tcPr>
          <w:p w:rsidR="003D2032" w:rsidRDefault="003D2032">
            <w:pPr>
              <w:spacing w:line="600" w:lineRule="exact"/>
              <w:jc w:val="center"/>
              <w:rPr>
                <w:rFonts w:ascii="仿宋_GB2312" w:eastAsia="仿宋_GB2312"/>
                <w:sz w:val="24"/>
                <w:szCs w:val="24"/>
              </w:rPr>
            </w:pPr>
          </w:p>
        </w:tc>
      </w:tr>
      <w:tr w:rsidR="003D2032" w:rsidTr="007A301F">
        <w:trPr>
          <w:trHeight w:val="285"/>
          <w:jc w:val="center"/>
        </w:trPr>
        <w:tc>
          <w:tcPr>
            <w:tcW w:w="577" w:type="dxa"/>
            <w:vMerge/>
            <w:vAlign w:val="center"/>
          </w:tcPr>
          <w:p w:rsidR="003D2032" w:rsidRDefault="003D2032">
            <w:pPr>
              <w:spacing w:line="600" w:lineRule="exact"/>
              <w:jc w:val="center"/>
              <w:rPr>
                <w:rFonts w:ascii="仿宋_GB2312" w:eastAsia="仿宋_GB2312"/>
                <w:sz w:val="24"/>
                <w:szCs w:val="24"/>
              </w:rPr>
            </w:pPr>
          </w:p>
        </w:tc>
        <w:tc>
          <w:tcPr>
            <w:tcW w:w="974" w:type="dxa"/>
            <w:vMerge/>
            <w:vAlign w:val="center"/>
          </w:tcPr>
          <w:p w:rsidR="003D2032" w:rsidRDefault="003D2032">
            <w:pPr>
              <w:spacing w:line="600" w:lineRule="exact"/>
              <w:jc w:val="center"/>
              <w:rPr>
                <w:rFonts w:ascii="仿宋_GB2312" w:eastAsia="仿宋_GB2312"/>
                <w:sz w:val="24"/>
                <w:szCs w:val="24"/>
              </w:rPr>
            </w:pPr>
          </w:p>
        </w:tc>
        <w:tc>
          <w:tcPr>
            <w:tcW w:w="775" w:type="dxa"/>
            <w:vAlign w:val="center"/>
          </w:tcPr>
          <w:p w:rsidR="003D2032" w:rsidRDefault="003D2032">
            <w:pPr>
              <w:spacing w:line="600" w:lineRule="exact"/>
              <w:jc w:val="center"/>
              <w:rPr>
                <w:rFonts w:ascii="仿宋_GB2312" w:eastAsia="仿宋_GB2312"/>
                <w:sz w:val="24"/>
                <w:szCs w:val="24"/>
              </w:rPr>
            </w:pPr>
          </w:p>
        </w:tc>
        <w:tc>
          <w:tcPr>
            <w:tcW w:w="2220" w:type="dxa"/>
            <w:vAlign w:val="center"/>
          </w:tcPr>
          <w:p w:rsidR="003D2032" w:rsidRDefault="003D2032">
            <w:pPr>
              <w:spacing w:line="600" w:lineRule="exact"/>
              <w:jc w:val="center"/>
              <w:rPr>
                <w:rFonts w:ascii="仿宋_GB2312" w:eastAsia="仿宋_GB2312"/>
                <w:sz w:val="24"/>
                <w:szCs w:val="24"/>
              </w:rPr>
            </w:pP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8</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050408</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艺术设计</w:t>
            </w:r>
          </w:p>
        </w:tc>
        <w:tc>
          <w:tcPr>
            <w:tcW w:w="1275"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停招专业</w:t>
            </w:r>
          </w:p>
        </w:tc>
      </w:tr>
      <w:tr w:rsidR="003D2032" w:rsidTr="007A301F">
        <w:trPr>
          <w:trHeight w:val="285"/>
          <w:jc w:val="center"/>
        </w:trPr>
        <w:tc>
          <w:tcPr>
            <w:tcW w:w="577" w:type="dxa"/>
            <w:vMerge w:val="restart"/>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08</w:t>
            </w:r>
          </w:p>
        </w:tc>
        <w:tc>
          <w:tcPr>
            <w:tcW w:w="974" w:type="dxa"/>
            <w:vMerge w:val="restart"/>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工学</w:t>
            </w:r>
          </w:p>
        </w:tc>
        <w:tc>
          <w:tcPr>
            <w:tcW w:w="775"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0810</w:t>
            </w:r>
          </w:p>
        </w:tc>
        <w:tc>
          <w:tcPr>
            <w:tcW w:w="2220"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土木类</w:t>
            </w: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9</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081001</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土木工程</w:t>
            </w:r>
          </w:p>
        </w:tc>
        <w:tc>
          <w:tcPr>
            <w:tcW w:w="1275"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当年新增</w:t>
            </w:r>
          </w:p>
        </w:tc>
      </w:tr>
      <w:tr w:rsidR="003D2032" w:rsidTr="007A301F">
        <w:trPr>
          <w:trHeight w:val="285"/>
          <w:jc w:val="center"/>
        </w:trPr>
        <w:tc>
          <w:tcPr>
            <w:tcW w:w="577" w:type="dxa"/>
            <w:vMerge/>
            <w:vAlign w:val="center"/>
          </w:tcPr>
          <w:p w:rsidR="003D2032" w:rsidRDefault="003D2032">
            <w:pPr>
              <w:spacing w:line="600" w:lineRule="exact"/>
              <w:jc w:val="center"/>
              <w:rPr>
                <w:rFonts w:ascii="仿宋_GB2312" w:eastAsia="仿宋_GB2312"/>
                <w:sz w:val="24"/>
                <w:szCs w:val="24"/>
              </w:rPr>
            </w:pPr>
          </w:p>
        </w:tc>
        <w:tc>
          <w:tcPr>
            <w:tcW w:w="974" w:type="dxa"/>
            <w:vMerge/>
            <w:vAlign w:val="center"/>
          </w:tcPr>
          <w:p w:rsidR="003D2032" w:rsidRDefault="003D2032">
            <w:pPr>
              <w:spacing w:line="600" w:lineRule="exact"/>
              <w:jc w:val="center"/>
              <w:rPr>
                <w:rFonts w:ascii="仿宋_GB2312" w:eastAsia="仿宋_GB2312"/>
                <w:sz w:val="24"/>
                <w:szCs w:val="24"/>
              </w:rPr>
            </w:pPr>
          </w:p>
        </w:tc>
        <w:tc>
          <w:tcPr>
            <w:tcW w:w="775" w:type="dxa"/>
            <w:vMerge w:val="restart"/>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0828</w:t>
            </w:r>
          </w:p>
        </w:tc>
        <w:tc>
          <w:tcPr>
            <w:tcW w:w="2220" w:type="dxa"/>
            <w:vMerge w:val="restart"/>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建筑类</w:t>
            </w: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10</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082801</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建筑学</w:t>
            </w:r>
          </w:p>
        </w:tc>
        <w:tc>
          <w:tcPr>
            <w:tcW w:w="1275" w:type="dxa"/>
            <w:vAlign w:val="center"/>
          </w:tcPr>
          <w:p w:rsidR="003D2032" w:rsidRDefault="003D2032">
            <w:pPr>
              <w:spacing w:line="600" w:lineRule="exact"/>
              <w:jc w:val="center"/>
              <w:rPr>
                <w:rFonts w:ascii="仿宋_GB2312" w:eastAsia="仿宋_GB2312"/>
                <w:sz w:val="24"/>
                <w:szCs w:val="24"/>
              </w:rPr>
            </w:pPr>
          </w:p>
        </w:tc>
      </w:tr>
      <w:tr w:rsidR="003D2032" w:rsidTr="007A301F">
        <w:trPr>
          <w:trHeight w:val="285"/>
          <w:jc w:val="center"/>
        </w:trPr>
        <w:tc>
          <w:tcPr>
            <w:tcW w:w="577" w:type="dxa"/>
            <w:vMerge/>
            <w:vAlign w:val="center"/>
          </w:tcPr>
          <w:p w:rsidR="003D2032" w:rsidRDefault="003D2032">
            <w:pPr>
              <w:spacing w:line="600" w:lineRule="exact"/>
              <w:jc w:val="center"/>
              <w:rPr>
                <w:rFonts w:ascii="仿宋_GB2312" w:eastAsia="仿宋_GB2312"/>
                <w:sz w:val="24"/>
                <w:szCs w:val="24"/>
              </w:rPr>
            </w:pPr>
          </w:p>
        </w:tc>
        <w:tc>
          <w:tcPr>
            <w:tcW w:w="974" w:type="dxa"/>
            <w:vMerge/>
            <w:vAlign w:val="center"/>
          </w:tcPr>
          <w:p w:rsidR="003D2032" w:rsidRDefault="003D2032">
            <w:pPr>
              <w:spacing w:line="600" w:lineRule="exact"/>
              <w:jc w:val="center"/>
              <w:rPr>
                <w:rFonts w:ascii="仿宋_GB2312" w:eastAsia="仿宋_GB2312"/>
                <w:sz w:val="24"/>
                <w:szCs w:val="24"/>
              </w:rPr>
            </w:pPr>
          </w:p>
        </w:tc>
        <w:tc>
          <w:tcPr>
            <w:tcW w:w="775" w:type="dxa"/>
            <w:vMerge/>
            <w:vAlign w:val="center"/>
          </w:tcPr>
          <w:p w:rsidR="003D2032" w:rsidRDefault="003D2032">
            <w:pPr>
              <w:spacing w:line="600" w:lineRule="exact"/>
              <w:jc w:val="center"/>
              <w:rPr>
                <w:rFonts w:ascii="仿宋_GB2312" w:eastAsia="仿宋_GB2312"/>
                <w:sz w:val="24"/>
                <w:szCs w:val="24"/>
              </w:rPr>
            </w:pPr>
          </w:p>
        </w:tc>
        <w:tc>
          <w:tcPr>
            <w:tcW w:w="2220" w:type="dxa"/>
            <w:vMerge/>
            <w:vAlign w:val="center"/>
          </w:tcPr>
          <w:p w:rsidR="003D2032" w:rsidRDefault="003D2032">
            <w:pPr>
              <w:spacing w:line="600" w:lineRule="exact"/>
              <w:jc w:val="center"/>
              <w:rPr>
                <w:rFonts w:ascii="仿宋_GB2312" w:eastAsia="仿宋_GB2312"/>
                <w:sz w:val="24"/>
                <w:szCs w:val="24"/>
              </w:rPr>
            </w:pPr>
          </w:p>
        </w:tc>
        <w:tc>
          <w:tcPr>
            <w:tcW w:w="709"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11</w:t>
            </w:r>
          </w:p>
        </w:tc>
        <w:tc>
          <w:tcPr>
            <w:tcW w:w="1276"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082803</w:t>
            </w:r>
          </w:p>
        </w:tc>
        <w:tc>
          <w:tcPr>
            <w:tcW w:w="2268" w:type="dxa"/>
            <w:vAlign w:val="center"/>
          </w:tcPr>
          <w:p w:rsidR="003D2032" w:rsidRDefault="007A301F">
            <w:pPr>
              <w:spacing w:line="600" w:lineRule="exact"/>
              <w:jc w:val="center"/>
              <w:rPr>
                <w:rFonts w:ascii="仿宋_GB2312" w:eastAsia="仿宋_GB2312"/>
                <w:sz w:val="24"/>
                <w:szCs w:val="24"/>
              </w:rPr>
            </w:pPr>
            <w:r>
              <w:rPr>
                <w:rFonts w:ascii="仿宋_GB2312" w:eastAsia="仿宋_GB2312" w:hint="eastAsia"/>
                <w:sz w:val="24"/>
                <w:szCs w:val="24"/>
              </w:rPr>
              <w:t>风景园林</w:t>
            </w:r>
          </w:p>
        </w:tc>
        <w:tc>
          <w:tcPr>
            <w:tcW w:w="1275" w:type="dxa"/>
            <w:vAlign w:val="center"/>
          </w:tcPr>
          <w:p w:rsidR="003D2032" w:rsidRDefault="003D2032">
            <w:pPr>
              <w:spacing w:line="600" w:lineRule="exact"/>
              <w:jc w:val="center"/>
              <w:rPr>
                <w:rFonts w:ascii="仿宋_GB2312" w:eastAsia="仿宋_GB2312"/>
                <w:sz w:val="24"/>
                <w:szCs w:val="24"/>
              </w:rPr>
            </w:pPr>
          </w:p>
        </w:tc>
      </w:tr>
      <w:tr w:rsidR="00B810E8" w:rsidTr="007A301F">
        <w:trPr>
          <w:trHeight w:val="285"/>
          <w:jc w:val="center"/>
        </w:trPr>
        <w:tc>
          <w:tcPr>
            <w:tcW w:w="577" w:type="dxa"/>
            <w:vMerge w:val="restart"/>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w:t>
            </w:r>
          </w:p>
        </w:tc>
        <w:tc>
          <w:tcPr>
            <w:tcW w:w="974" w:type="dxa"/>
            <w:vMerge w:val="restart"/>
            <w:vAlign w:val="center"/>
          </w:tcPr>
          <w:p w:rsidR="00B810E8" w:rsidRDefault="00B810E8" w:rsidP="007A301F">
            <w:pPr>
              <w:spacing w:line="600" w:lineRule="exact"/>
              <w:jc w:val="center"/>
              <w:rPr>
                <w:rFonts w:ascii="仿宋_GB2312" w:eastAsia="仿宋_GB2312"/>
                <w:sz w:val="24"/>
                <w:szCs w:val="24"/>
              </w:rPr>
            </w:pPr>
            <w:r>
              <w:rPr>
                <w:rFonts w:ascii="仿宋_GB2312" w:eastAsia="仿宋_GB2312" w:hint="eastAsia"/>
                <w:sz w:val="24"/>
                <w:szCs w:val="24"/>
              </w:rPr>
              <w:t>管理学</w:t>
            </w:r>
          </w:p>
        </w:tc>
        <w:tc>
          <w:tcPr>
            <w:tcW w:w="775" w:type="dxa"/>
            <w:vMerge w:val="restart"/>
            <w:vAlign w:val="center"/>
          </w:tcPr>
          <w:p w:rsidR="00B810E8" w:rsidRDefault="00B810E8" w:rsidP="004715F2">
            <w:pPr>
              <w:spacing w:line="600" w:lineRule="exact"/>
              <w:jc w:val="center"/>
              <w:rPr>
                <w:rFonts w:ascii="仿宋_GB2312" w:eastAsia="仿宋_GB2312"/>
                <w:sz w:val="24"/>
                <w:szCs w:val="24"/>
              </w:rPr>
            </w:pPr>
            <w:r>
              <w:rPr>
                <w:rFonts w:ascii="仿宋_GB2312" w:eastAsia="仿宋_GB2312" w:hint="eastAsia"/>
                <w:sz w:val="24"/>
                <w:szCs w:val="24"/>
              </w:rPr>
              <w:t>1202</w:t>
            </w:r>
          </w:p>
        </w:tc>
        <w:tc>
          <w:tcPr>
            <w:tcW w:w="2220" w:type="dxa"/>
            <w:vMerge w:val="restart"/>
            <w:vAlign w:val="center"/>
          </w:tcPr>
          <w:p w:rsidR="00B810E8" w:rsidRDefault="00B810E8" w:rsidP="001F5BF0">
            <w:pPr>
              <w:spacing w:line="600" w:lineRule="exact"/>
              <w:jc w:val="center"/>
              <w:rPr>
                <w:rFonts w:ascii="仿宋_GB2312" w:eastAsia="仿宋_GB2312"/>
                <w:sz w:val="24"/>
                <w:szCs w:val="24"/>
              </w:rPr>
            </w:pPr>
            <w:r>
              <w:rPr>
                <w:rFonts w:ascii="仿宋_GB2312" w:eastAsia="仿宋_GB2312" w:hint="eastAsia"/>
                <w:sz w:val="24"/>
                <w:szCs w:val="24"/>
              </w:rPr>
              <w:t>工商管理类</w:t>
            </w: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w:t>
            </w:r>
          </w:p>
        </w:tc>
        <w:tc>
          <w:tcPr>
            <w:tcW w:w="1276" w:type="dxa"/>
            <w:vAlign w:val="center"/>
          </w:tcPr>
          <w:p w:rsidR="00B810E8" w:rsidRDefault="00B810E8" w:rsidP="003E0EBA">
            <w:pPr>
              <w:spacing w:line="600" w:lineRule="exact"/>
              <w:jc w:val="center"/>
              <w:rPr>
                <w:rFonts w:ascii="仿宋_GB2312" w:eastAsia="仿宋_GB2312"/>
                <w:sz w:val="24"/>
                <w:szCs w:val="24"/>
              </w:rPr>
            </w:pPr>
            <w:r>
              <w:rPr>
                <w:rFonts w:ascii="仿宋_GB2312" w:eastAsia="仿宋_GB2312" w:hint="eastAsia"/>
                <w:sz w:val="24"/>
                <w:szCs w:val="24"/>
              </w:rPr>
              <w:t>120202</w:t>
            </w:r>
          </w:p>
        </w:tc>
        <w:tc>
          <w:tcPr>
            <w:tcW w:w="2268" w:type="dxa"/>
            <w:vAlign w:val="center"/>
          </w:tcPr>
          <w:p w:rsidR="00B810E8" w:rsidRDefault="00B810E8" w:rsidP="003E0EBA">
            <w:pPr>
              <w:spacing w:line="600" w:lineRule="exact"/>
              <w:jc w:val="center"/>
              <w:rPr>
                <w:rFonts w:ascii="仿宋_GB2312" w:eastAsia="仿宋_GB2312"/>
                <w:sz w:val="24"/>
                <w:szCs w:val="24"/>
              </w:rPr>
            </w:pPr>
            <w:r>
              <w:rPr>
                <w:rFonts w:ascii="仿宋_GB2312" w:eastAsia="仿宋_GB2312" w:hint="eastAsia"/>
                <w:sz w:val="24"/>
                <w:szCs w:val="24"/>
              </w:rPr>
              <w:t>市场营销</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332"/>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w:t>
            </w:r>
          </w:p>
        </w:tc>
        <w:tc>
          <w:tcPr>
            <w:tcW w:w="1276" w:type="dxa"/>
            <w:vAlign w:val="center"/>
          </w:tcPr>
          <w:p w:rsidR="00B810E8" w:rsidRDefault="00B810E8" w:rsidP="003E0EBA">
            <w:pPr>
              <w:spacing w:line="600" w:lineRule="exact"/>
              <w:jc w:val="center"/>
              <w:rPr>
                <w:rFonts w:ascii="仿宋_GB2312" w:eastAsia="仿宋_GB2312"/>
                <w:sz w:val="24"/>
                <w:szCs w:val="24"/>
              </w:rPr>
            </w:pPr>
            <w:r>
              <w:rPr>
                <w:rFonts w:ascii="仿宋_GB2312" w:eastAsia="仿宋_GB2312" w:hint="eastAsia"/>
                <w:sz w:val="24"/>
                <w:szCs w:val="24"/>
              </w:rPr>
              <w:t>120203K</w:t>
            </w:r>
          </w:p>
        </w:tc>
        <w:tc>
          <w:tcPr>
            <w:tcW w:w="2268" w:type="dxa"/>
            <w:vAlign w:val="center"/>
          </w:tcPr>
          <w:p w:rsidR="00B810E8" w:rsidRDefault="00B810E8" w:rsidP="003E0EBA">
            <w:pPr>
              <w:spacing w:line="600" w:lineRule="exact"/>
              <w:jc w:val="center"/>
              <w:rPr>
                <w:rFonts w:ascii="仿宋_GB2312" w:eastAsia="仿宋_GB2312"/>
                <w:sz w:val="24"/>
                <w:szCs w:val="24"/>
              </w:rPr>
            </w:pPr>
            <w:r>
              <w:rPr>
                <w:rFonts w:ascii="仿宋_GB2312" w:eastAsia="仿宋_GB2312" w:hint="eastAsia"/>
                <w:sz w:val="24"/>
                <w:szCs w:val="24"/>
              </w:rPr>
              <w:t>会计学</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14</w:t>
            </w:r>
          </w:p>
        </w:tc>
        <w:tc>
          <w:tcPr>
            <w:tcW w:w="1276" w:type="dxa"/>
            <w:vAlign w:val="center"/>
          </w:tcPr>
          <w:p w:rsidR="00B810E8" w:rsidRDefault="00B810E8" w:rsidP="003E0EBA">
            <w:pPr>
              <w:spacing w:line="600" w:lineRule="exact"/>
              <w:jc w:val="center"/>
              <w:rPr>
                <w:rFonts w:ascii="仿宋_GB2312" w:eastAsia="仿宋_GB2312"/>
                <w:sz w:val="24"/>
                <w:szCs w:val="24"/>
              </w:rPr>
            </w:pPr>
            <w:r>
              <w:rPr>
                <w:rFonts w:ascii="仿宋_GB2312" w:eastAsia="仿宋_GB2312" w:hint="eastAsia"/>
                <w:sz w:val="24"/>
                <w:szCs w:val="24"/>
              </w:rPr>
              <w:t>120204</w:t>
            </w:r>
          </w:p>
        </w:tc>
        <w:tc>
          <w:tcPr>
            <w:tcW w:w="2268" w:type="dxa"/>
            <w:vAlign w:val="center"/>
          </w:tcPr>
          <w:p w:rsidR="00B810E8" w:rsidRDefault="00B810E8" w:rsidP="003E0EBA">
            <w:pPr>
              <w:spacing w:line="600" w:lineRule="exact"/>
              <w:jc w:val="center"/>
              <w:rPr>
                <w:rFonts w:ascii="仿宋_GB2312" w:eastAsia="仿宋_GB2312"/>
                <w:sz w:val="24"/>
                <w:szCs w:val="24"/>
              </w:rPr>
            </w:pPr>
            <w:r>
              <w:rPr>
                <w:rFonts w:ascii="仿宋_GB2312" w:eastAsia="仿宋_GB2312" w:hint="eastAsia"/>
                <w:sz w:val="24"/>
                <w:szCs w:val="24"/>
              </w:rPr>
              <w:t>财务管理</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15</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120206</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人力资源管理</w:t>
            </w:r>
          </w:p>
        </w:tc>
        <w:tc>
          <w:tcPr>
            <w:tcW w:w="1275"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当年新增</w:t>
            </w:r>
          </w:p>
        </w:tc>
      </w:tr>
      <w:tr w:rsidR="00B810E8" w:rsidTr="007A301F">
        <w:trPr>
          <w:trHeight w:val="29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1206</w:t>
            </w:r>
          </w:p>
        </w:tc>
        <w:tc>
          <w:tcPr>
            <w:tcW w:w="2220" w:type="dxa"/>
            <w:vAlign w:val="center"/>
          </w:tcPr>
          <w:p w:rsidR="00B810E8" w:rsidRDefault="00B810E8" w:rsidP="007A301F">
            <w:pPr>
              <w:spacing w:line="600" w:lineRule="exact"/>
              <w:jc w:val="center"/>
              <w:rPr>
                <w:rFonts w:ascii="仿宋_GB2312" w:eastAsia="仿宋_GB2312"/>
                <w:sz w:val="24"/>
                <w:szCs w:val="24"/>
              </w:rPr>
            </w:pPr>
            <w:r>
              <w:rPr>
                <w:rFonts w:ascii="仿宋_GB2312" w:eastAsia="仿宋_GB2312" w:hint="eastAsia"/>
                <w:sz w:val="24"/>
                <w:szCs w:val="24"/>
              </w:rPr>
              <w:t>物流管理与工程类</w:t>
            </w: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16</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120601</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物流管理</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restart"/>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1209</w:t>
            </w:r>
          </w:p>
        </w:tc>
        <w:tc>
          <w:tcPr>
            <w:tcW w:w="2220" w:type="dxa"/>
            <w:vMerge w:val="restart"/>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旅游管理类</w:t>
            </w: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17</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120901K</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旅游管理</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18</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120902</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酒店管理</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19</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120903</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会展经济与管理</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restart"/>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w:t>
            </w:r>
          </w:p>
        </w:tc>
        <w:tc>
          <w:tcPr>
            <w:tcW w:w="974" w:type="dxa"/>
            <w:vMerge w:val="restart"/>
            <w:vAlign w:val="center"/>
          </w:tcPr>
          <w:p w:rsidR="00B810E8" w:rsidRDefault="00B810E8" w:rsidP="007A301F">
            <w:pPr>
              <w:spacing w:line="600" w:lineRule="exact"/>
              <w:jc w:val="center"/>
              <w:rPr>
                <w:rFonts w:ascii="仿宋_GB2312" w:eastAsia="仿宋_GB2312"/>
                <w:sz w:val="24"/>
                <w:szCs w:val="24"/>
              </w:rPr>
            </w:pPr>
            <w:r>
              <w:rPr>
                <w:rFonts w:ascii="仿宋_GB2312" w:eastAsia="仿宋_GB2312" w:hint="eastAsia"/>
                <w:sz w:val="24"/>
                <w:szCs w:val="24"/>
              </w:rPr>
              <w:t>艺术学</w:t>
            </w:r>
          </w:p>
        </w:tc>
        <w:tc>
          <w:tcPr>
            <w:tcW w:w="775" w:type="dxa"/>
            <w:vMerge w:val="restart"/>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1303</w:t>
            </w:r>
          </w:p>
        </w:tc>
        <w:tc>
          <w:tcPr>
            <w:tcW w:w="2220" w:type="dxa"/>
            <w:vMerge w:val="restart"/>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戏剧与影视学类</w:t>
            </w: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20</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130307</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戏剧影视美术设计</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333"/>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21</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130310</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动画</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1304</w:t>
            </w:r>
          </w:p>
        </w:tc>
        <w:tc>
          <w:tcPr>
            <w:tcW w:w="2220"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美术学类</w:t>
            </w: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22</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130403</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雕塑</w:t>
            </w:r>
          </w:p>
        </w:tc>
        <w:tc>
          <w:tcPr>
            <w:tcW w:w="1275"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停招专业</w:t>
            </w: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restart"/>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1305</w:t>
            </w:r>
          </w:p>
        </w:tc>
        <w:tc>
          <w:tcPr>
            <w:tcW w:w="2220" w:type="dxa"/>
            <w:vMerge w:val="restart"/>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设计学类</w:t>
            </w: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23</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130502</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视觉传达设计</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24</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130503</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环境设计</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25</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130504</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产品设计</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285"/>
          <w:jc w:val="center"/>
        </w:trPr>
        <w:tc>
          <w:tcPr>
            <w:tcW w:w="577" w:type="dxa"/>
            <w:vMerge/>
            <w:vAlign w:val="center"/>
          </w:tcPr>
          <w:p w:rsidR="00B810E8" w:rsidRDefault="00B810E8">
            <w:pPr>
              <w:spacing w:line="600" w:lineRule="exact"/>
              <w:jc w:val="center"/>
              <w:rPr>
                <w:rFonts w:ascii="仿宋_GB2312" w:eastAsia="仿宋_GB2312"/>
                <w:sz w:val="24"/>
                <w:szCs w:val="24"/>
              </w:rPr>
            </w:pPr>
          </w:p>
        </w:tc>
        <w:tc>
          <w:tcPr>
            <w:tcW w:w="974" w:type="dxa"/>
            <w:vMerge/>
            <w:vAlign w:val="center"/>
          </w:tcPr>
          <w:p w:rsidR="00B810E8" w:rsidRDefault="00B810E8">
            <w:pPr>
              <w:spacing w:line="600" w:lineRule="exact"/>
              <w:jc w:val="center"/>
              <w:rPr>
                <w:rFonts w:ascii="仿宋_GB2312" w:eastAsia="仿宋_GB2312"/>
                <w:sz w:val="24"/>
                <w:szCs w:val="24"/>
              </w:rPr>
            </w:pPr>
          </w:p>
        </w:tc>
        <w:tc>
          <w:tcPr>
            <w:tcW w:w="775" w:type="dxa"/>
            <w:vMerge/>
            <w:vAlign w:val="center"/>
          </w:tcPr>
          <w:p w:rsidR="00B810E8" w:rsidRDefault="00B810E8">
            <w:pPr>
              <w:spacing w:line="600" w:lineRule="exact"/>
              <w:jc w:val="center"/>
              <w:rPr>
                <w:rFonts w:ascii="仿宋_GB2312" w:eastAsia="仿宋_GB2312"/>
                <w:sz w:val="24"/>
                <w:szCs w:val="24"/>
              </w:rPr>
            </w:pPr>
          </w:p>
        </w:tc>
        <w:tc>
          <w:tcPr>
            <w:tcW w:w="2220" w:type="dxa"/>
            <w:vMerge/>
            <w:vAlign w:val="center"/>
          </w:tcPr>
          <w:p w:rsidR="00B810E8" w:rsidRDefault="00B810E8">
            <w:pPr>
              <w:spacing w:line="600" w:lineRule="exact"/>
              <w:jc w:val="center"/>
              <w:rPr>
                <w:rFonts w:ascii="仿宋_GB2312" w:eastAsia="仿宋_GB2312"/>
                <w:sz w:val="24"/>
                <w:szCs w:val="24"/>
              </w:rPr>
            </w:pPr>
          </w:p>
        </w:tc>
        <w:tc>
          <w:tcPr>
            <w:tcW w:w="709"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26</w:t>
            </w:r>
          </w:p>
        </w:tc>
        <w:tc>
          <w:tcPr>
            <w:tcW w:w="1276"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130505</w:t>
            </w:r>
          </w:p>
        </w:tc>
        <w:tc>
          <w:tcPr>
            <w:tcW w:w="2268"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服装与服饰设计</w:t>
            </w:r>
          </w:p>
        </w:tc>
        <w:tc>
          <w:tcPr>
            <w:tcW w:w="1275" w:type="dxa"/>
            <w:vAlign w:val="center"/>
          </w:tcPr>
          <w:p w:rsidR="00B810E8" w:rsidRDefault="00B810E8">
            <w:pPr>
              <w:spacing w:line="600" w:lineRule="exact"/>
              <w:jc w:val="center"/>
              <w:rPr>
                <w:rFonts w:ascii="仿宋_GB2312" w:eastAsia="仿宋_GB2312"/>
                <w:sz w:val="24"/>
                <w:szCs w:val="24"/>
              </w:rPr>
            </w:pPr>
          </w:p>
        </w:tc>
      </w:tr>
      <w:tr w:rsidR="00B810E8" w:rsidTr="007A301F">
        <w:trPr>
          <w:trHeight w:val="525"/>
          <w:jc w:val="center"/>
        </w:trPr>
        <w:tc>
          <w:tcPr>
            <w:tcW w:w="577" w:type="dxa"/>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合计</w:t>
            </w:r>
          </w:p>
        </w:tc>
        <w:tc>
          <w:tcPr>
            <w:tcW w:w="3969" w:type="dxa"/>
            <w:gridSpan w:val="3"/>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全校本科专业总数：26</w:t>
            </w:r>
          </w:p>
        </w:tc>
        <w:tc>
          <w:tcPr>
            <w:tcW w:w="5528" w:type="dxa"/>
            <w:gridSpan w:val="4"/>
            <w:vAlign w:val="center"/>
          </w:tcPr>
          <w:p w:rsidR="00B810E8" w:rsidRDefault="00B810E8">
            <w:pPr>
              <w:spacing w:line="600" w:lineRule="exact"/>
              <w:jc w:val="center"/>
              <w:rPr>
                <w:rFonts w:ascii="仿宋_GB2312" w:eastAsia="仿宋_GB2312"/>
                <w:sz w:val="24"/>
                <w:szCs w:val="24"/>
              </w:rPr>
            </w:pPr>
            <w:r>
              <w:rPr>
                <w:rFonts w:ascii="仿宋_GB2312" w:eastAsia="仿宋_GB2312" w:hint="eastAsia"/>
                <w:sz w:val="24"/>
                <w:szCs w:val="24"/>
              </w:rPr>
              <w:t>当年本科招生专业总数:24</w:t>
            </w:r>
          </w:p>
        </w:tc>
      </w:tr>
    </w:tbl>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（三）本科生在校情况与生源质量</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2015年，学院共有全日制在校生9445人，其中全日制本科生9141人，专科生304人。本科生所占比例为96.78%。</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2015年，学院在全国27个省、市、自治区、直辖市，共计招生2592人，报到2283人，招生批次涵盖二、三批本科、专科等，生源质量比往年有较大幅度提升。</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2015年，我校各批次招生省份录取情况良好，26个省份均在</w:t>
      </w:r>
      <w:r>
        <w:rPr>
          <w:rFonts w:ascii="仿宋_GB2312" w:eastAsia="仿宋_GB2312" w:hint="eastAsia"/>
          <w:sz w:val="32"/>
          <w:szCs w:val="32"/>
        </w:rPr>
        <w:lastRenderedPageBreak/>
        <w:t>三本分数线上。以河北省为例，三批本科招生计划200人，文史类录取分数在442分以上的专业占招考专业总数的100%，超过本科线的考生数量200余人，部分专业录取分数已经超过二批本科线。</w:t>
      </w:r>
    </w:p>
    <w:p w:rsidR="003D2032" w:rsidRDefault="007A301F">
      <w:pPr>
        <w:spacing w:line="600" w:lineRule="exact"/>
        <w:ind w:firstLineChars="200" w:firstLine="640"/>
        <w:rPr>
          <w:rFonts w:ascii="黑体" w:eastAsia="黑体"/>
          <w:sz w:val="32"/>
          <w:szCs w:val="32"/>
        </w:rPr>
      </w:pPr>
      <w:r>
        <w:rPr>
          <w:rFonts w:ascii="黑体" w:eastAsia="黑体" w:hint="eastAsia"/>
          <w:sz w:val="32"/>
          <w:szCs w:val="32"/>
        </w:rPr>
        <w:t>二、师资与教学条件</w:t>
      </w: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（一）师资队伍建设情况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扎实推进人才强校战略，重视师资队伍建设。2015年学院通过引进优秀人才和分层次开展教师培养两种方式加强师资队伍建设。注重加强对急需的高层次、高学历、重点学科和新建学科教学科研人员、教辅及管理人员的补充， 2015年度，引进教授2</w:t>
      </w:r>
      <w:r w:rsidR="000565CD">
        <w:rPr>
          <w:rFonts w:ascii="仿宋_GB2312" w:eastAsia="仿宋_GB2312" w:hint="eastAsia"/>
          <w:sz w:val="32"/>
          <w:szCs w:val="32"/>
        </w:rPr>
        <w:t>人</w:t>
      </w:r>
      <w:r>
        <w:rPr>
          <w:rFonts w:ascii="仿宋_GB2312" w:eastAsia="仿宋_GB2312" w:hint="eastAsia"/>
          <w:sz w:val="32"/>
          <w:szCs w:val="32"/>
        </w:rPr>
        <w:t>、学科带头人2人、博士2人，硕士10人。积极创造条件进行“双师型”教师培养。双师型教师培养采取引进行业企业专家授课和推荐青年专职教师到企业顶岗培训两种方式，有效提升了任课教师的应用型实践操作教学能力。2015年，学院各类教师培训进修人数为39人。</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学院积极鼓励青年教师参加各级各类省级教学讲课大赛。在“</w:t>
      </w:r>
      <w:r w:rsidRPr="00776DB1">
        <w:rPr>
          <w:rFonts w:ascii="仿宋_GB2312" w:eastAsia="仿宋_GB2312" w:hint="eastAsia"/>
          <w:sz w:val="32"/>
          <w:szCs w:val="32"/>
        </w:rPr>
        <w:t>外教</w:t>
      </w:r>
      <w:r>
        <w:rPr>
          <w:rFonts w:ascii="仿宋_GB2312" w:eastAsia="仿宋_GB2312" w:hint="eastAsia"/>
          <w:sz w:val="32"/>
          <w:szCs w:val="32"/>
        </w:rPr>
        <w:t>社杯”全国高校外语教学大赛、吉林省高校思想政治理论课“精彩一课”等省级讲课大赛中，我院13名教师分获特等奖1人、一等奖2人，二等奖2人、三等奖8人。</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现有教师475人，生师比19.8:1，其中302人具有硕士以上学历，约占教师总数的63.6%；51人具有正高级职称，约占教师总数的10.7%，138人具有副高级职称，约占教师总数的29.1%（见图一）；其中48名教授为本科生授课，主讲98门课程，占所</w:t>
      </w:r>
      <w:r>
        <w:rPr>
          <w:rFonts w:ascii="仿宋_GB2312" w:eastAsia="仿宋_GB2312" w:hint="eastAsia"/>
          <w:sz w:val="32"/>
          <w:szCs w:val="32"/>
        </w:rPr>
        <w:lastRenderedPageBreak/>
        <w:t>开设课程743门的13.2%（见图二）；年龄分布上，45周岁以下青年教师335人，占教师总人数的70.5%，（见图三）。</w:t>
      </w:r>
    </w:p>
    <w:p w:rsidR="006000E0" w:rsidRDefault="006000E0">
      <w:pPr>
        <w:spacing w:line="600" w:lineRule="exact"/>
        <w:ind w:firstLineChars="200" w:firstLine="640"/>
        <w:rPr>
          <w:rFonts w:ascii="仿宋_GB2312" w:eastAsia="仿宋_GB2312"/>
          <w:color w:val="FF0000"/>
          <w:sz w:val="32"/>
          <w:szCs w:val="32"/>
        </w:rPr>
      </w:pPr>
    </w:p>
    <w:p w:rsidR="003D2032" w:rsidRDefault="007A301F" w:rsidP="007A301F">
      <w:pPr>
        <w:spacing w:line="600" w:lineRule="exact"/>
        <w:ind w:firstLineChars="200" w:firstLine="420"/>
        <w:rPr>
          <w:rFonts w:ascii="仿宋_GB2312" w:eastAsia="仿宋_GB2312"/>
          <w:color w:val="FF0000"/>
          <w:sz w:val="32"/>
          <w:szCs w:val="32"/>
        </w:rPr>
      </w:pPr>
      <w:r>
        <w:rPr>
          <w:noProof/>
        </w:rPr>
        <w:drawing>
          <wp:anchor distT="0" distB="0" distL="114300" distR="114300" simplePos="0" relativeHeight="251660288" behindDoc="0" locked="0" layoutInCell="1" allowOverlap="1">
            <wp:simplePos x="0" y="0"/>
            <wp:positionH relativeFrom="column">
              <wp:posOffset>466725</wp:posOffset>
            </wp:positionH>
            <wp:positionV relativeFrom="paragraph">
              <wp:posOffset>156210</wp:posOffset>
            </wp:positionV>
            <wp:extent cx="4286250" cy="2371725"/>
            <wp:effectExtent l="0" t="0" r="0" b="9525"/>
            <wp:wrapSquare wrapText="bothSides"/>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rPr>
          <w:rFonts w:ascii="仿宋_GB2312" w:eastAsia="仿宋_GB2312"/>
          <w:color w:val="FF0000"/>
          <w:sz w:val="32"/>
          <w:szCs w:val="32"/>
        </w:rPr>
      </w:pPr>
    </w:p>
    <w:p w:rsidR="003D2032" w:rsidRDefault="003D2032">
      <w:pPr>
        <w:spacing w:line="600" w:lineRule="exact"/>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7A301F" w:rsidP="007A301F">
      <w:pPr>
        <w:spacing w:line="600" w:lineRule="exact"/>
        <w:ind w:firstLineChars="200" w:firstLine="420"/>
        <w:rPr>
          <w:rFonts w:ascii="仿宋_GB2312" w:eastAsia="仿宋_GB2312"/>
          <w:color w:val="FF0000"/>
          <w:sz w:val="32"/>
          <w:szCs w:val="32"/>
        </w:rPr>
      </w:pPr>
      <w:r>
        <w:rPr>
          <w:noProof/>
        </w:rPr>
        <w:drawing>
          <wp:anchor distT="0" distB="0" distL="114300" distR="114300" simplePos="0" relativeHeight="251661312" behindDoc="0" locked="0" layoutInCell="1" allowOverlap="1">
            <wp:simplePos x="0" y="0"/>
            <wp:positionH relativeFrom="column">
              <wp:posOffset>609600</wp:posOffset>
            </wp:positionH>
            <wp:positionV relativeFrom="paragraph">
              <wp:posOffset>28575</wp:posOffset>
            </wp:positionV>
            <wp:extent cx="4105910" cy="2343785"/>
            <wp:effectExtent l="0" t="0" r="0" b="0"/>
            <wp:wrapSquare wrapText="bothSides"/>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0236D">
      <w:pPr>
        <w:spacing w:line="600" w:lineRule="exact"/>
        <w:ind w:firstLineChars="200" w:firstLine="640"/>
        <w:rPr>
          <w:rFonts w:ascii="仿宋_GB2312" w:eastAsia="仿宋_GB2312"/>
          <w:color w:val="FF0000"/>
          <w:sz w:val="32"/>
          <w:szCs w:val="32"/>
        </w:rPr>
      </w:pPr>
      <w:r>
        <w:rPr>
          <w:rFonts w:ascii="仿宋_GB2312" w:eastAsia="仿宋_GB2312" w:hint="eastAsia"/>
          <w:noProof/>
          <w:color w:val="FF0000"/>
          <w:sz w:val="32"/>
          <w:szCs w:val="32"/>
        </w:rPr>
        <w:drawing>
          <wp:anchor distT="0" distB="0" distL="114300" distR="114300" simplePos="0" relativeHeight="251662336" behindDoc="0" locked="0" layoutInCell="1" allowOverlap="1">
            <wp:simplePos x="0" y="0"/>
            <wp:positionH relativeFrom="column">
              <wp:posOffset>1053465</wp:posOffset>
            </wp:positionH>
            <wp:positionV relativeFrom="paragraph">
              <wp:posOffset>327660</wp:posOffset>
            </wp:positionV>
            <wp:extent cx="4139565" cy="2514600"/>
            <wp:effectExtent l="0" t="0" r="0" b="0"/>
            <wp:wrapSquare wrapText="bothSides"/>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3D2032" w:rsidRDefault="003D2032" w:rsidP="0030236D">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3D2032" w:rsidRDefault="003D2032">
      <w:pPr>
        <w:spacing w:line="600" w:lineRule="exact"/>
        <w:ind w:firstLineChars="200" w:firstLine="640"/>
        <w:rPr>
          <w:rFonts w:ascii="仿宋_GB2312" w:eastAsia="仿宋_GB2312"/>
          <w:color w:val="FF0000"/>
          <w:sz w:val="32"/>
          <w:szCs w:val="32"/>
        </w:rPr>
      </w:pPr>
    </w:p>
    <w:p w:rsidR="00247CBA" w:rsidRDefault="00247CBA" w:rsidP="002A73B8">
      <w:pPr>
        <w:spacing w:line="600" w:lineRule="exact"/>
        <w:rPr>
          <w:rFonts w:ascii="楷体_GB2312" w:eastAsia="楷体_GB2312" w:hAnsi="楷体" w:cs="楷体"/>
          <w:b/>
          <w:sz w:val="32"/>
          <w:szCs w:val="32"/>
        </w:rPr>
      </w:pP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lastRenderedPageBreak/>
        <w:t>（二）教学设施条件</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2015年，学院继续加大教学科研仪器设备投入，特别是校内实习实训建设成果显著。学院2015年教学行政用房面积为88659平方米，生均为9.39平方米；</w:t>
      </w:r>
      <w:r w:rsidRPr="00776DB1">
        <w:rPr>
          <w:rFonts w:ascii="仿宋_GB2312" w:eastAsia="仿宋_GB2312" w:hint="eastAsia"/>
          <w:sz w:val="32"/>
          <w:szCs w:val="32"/>
        </w:rPr>
        <w:t>其中实习实训</w:t>
      </w:r>
      <w:proofErr w:type="gramStart"/>
      <w:r w:rsidRPr="00776DB1">
        <w:rPr>
          <w:rFonts w:ascii="仿宋_GB2312" w:eastAsia="仿宋_GB2312" w:hint="eastAsia"/>
          <w:sz w:val="32"/>
          <w:szCs w:val="32"/>
        </w:rPr>
        <w:t>室面积</w:t>
      </w:r>
      <w:proofErr w:type="gramEnd"/>
      <w:r w:rsidRPr="00776DB1">
        <w:rPr>
          <w:rFonts w:ascii="仿宋_GB2312" w:eastAsia="仿宋_GB2312" w:hint="eastAsia"/>
          <w:sz w:val="32"/>
          <w:szCs w:val="32"/>
        </w:rPr>
        <w:t>为</w:t>
      </w:r>
      <w:r w:rsidR="00776DB1" w:rsidRPr="00776DB1">
        <w:rPr>
          <w:rFonts w:ascii="仿宋_GB2312" w:eastAsia="仿宋_GB2312" w:hint="eastAsia"/>
          <w:sz w:val="32"/>
          <w:szCs w:val="32"/>
        </w:rPr>
        <w:t>5854</w:t>
      </w:r>
      <w:r w:rsidRPr="00776DB1">
        <w:rPr>
          <w:rFonts w:ascii="仿宋_GB2312" w:eastAsia="仿宋_GB2312" w:hint="eastAsia"/>
          <w:sz w:val="32"/>
          <w:szCs w:val="32"/>
        </w:rPr>
        <w:t>平方米，生均0.6</w:t>
      </w:r>
      <w:r w:rsidR="00776DB1" w:rsidRPr="00776DB1">
        <w:rPr>
          <w:rFonts w:ascii="仿宋_GB2312" w:eastAsia="仿宋_GB2312" w:hint="eastAsia"/>
          <w:sz w:val="32"/>
          <w:szCs w:val="32"/>
        </w:rPr>
        <w:t>2</w:t>
      </w:r>
      <w:r w:rsidRPr="00776DB1">
        <w:rPr>
          <w:rFonts w:ascii="仿宋_GB2312" w:eastAsia="仿宋_GB2312" w:hint="eastAsia"/>
          <w:sz w:val="32"/>
          <w:szCs w:val="32"/>
        </w:rPr>
        <w:t>平方米。</w:t>
      </w:r>
      <w:r>
        <w:rPr>
          <w:rFonts w:ascii="仿宋_GB2312" w:eastAsia="仿宋_GB2312" w:hint="eastAsia"/>
          <w:sz w:val="32"/>
          <w:szCs w:val="32"/>
        </w:rPr>
        <w:t>学院2015年教学科研仪器设备总值为2</w:t>
      </w:r>
      <w:r w:rsidR="006000E0">
        <w:rPr>
          <w:rFonts w:ascii="仿宋_GB2312" w:eastAsia="仿宋_GB2312" w:hint="eastAsia"/>
          <w:sz w:val="32"/>
          <w:szCs w:val="32"/>
        </w:rPr>
        <w:t>857</w:t>
      </w:r>
      <w:r>
        <w:rPr>
          <w:rFonts w:ascii="仿宋_GB2312" w:eastAsia="仿宋_GB2312" w:hint="eastAsia"/>
          <w:sz w:val="32"/>
          <w:szCs w:val="32"/>
        </w:rPr>
        <w:t>.49万元，当年新增教学科研仪器设备值为</w:t>
      </w:r>
      <w:r w:rsidR="006000E0">
        <w:rPr>
          <w:rFonts w:ascii="仿宋_GB2312" w:eastAsia="仿宋_GB2312" w:hint="eastAsia"/>
          <w:sz w:val="32"/>
          <w:szCs w:val="32"/>
        </w:rPr>
        <w:t>266.445</w:t>
      </w:r>
      <w:r>
        <w:rPr>
          <w:rFonts w:ascii="仿宋_GB2312" w:eastAsia="仿宋_GB2312" w:hint="eastAsia"/>
          <w:sz w:val="32"/>
          <w:szCs w:val="32"/>
        </w:rPr>
        <w:t>万元。</w:t>
      </w: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 xml:space="preserve">（三）教学经费投入情况 </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始终坚持优先保障教学经费投入的理念，在保证各项必要支出的前提下，优先教学经费的投入，并设立了教学改革、专业建设、实习实践等专项资金，更好地满足了教学运行及改革的需要。各项教学经费详见表2</w:t>
      </w:r>
      <w:r w:rsidR="002A73B8">
        <w:rPr>
          <w:rFonts w:ascii="仿宋_GB2312" w:eastAsia="仿宋_GB2312" w:hint="eastAsia"/>
          <w:sz w:val="32"/>
          <w:szCs w:val="32"/>
        </w:rPr>
        <w:t>。</w:t>
      </w:r>
    </w:p>
    <w:p w:rsidR="003D2032" w:rsidRDefault="007A301F">
      <w:pPr>
        <w:spacing w:line="600" w:lineRule="exact"/>
        <w:jc w:val="center"/>
        <w:rPr>
          <w:rFonts w:ascii="仿宋_GB2312" w:eastAsia="仿宋_GB2312"/>
          <w:sz w:val="28"/>
          <w:szCs w:val="28"/>
        </w:rPr>
      </w:pPr>
      <w:r>
        <w:rPr>
          <w:rFonts w:ascii="仿宋_GB2312" w:eastAsia="仿宋_GB2312" w:hint="eastAsia"/>
          <w:sz w:val="28"/>
          <w:szCs w:val="28"/>
        </w:rPr>
        <w:t>表</w:t>
      </w:r>
      <w:r w:rsidR="002A73B8">
        <w:rPr>
          <w:rFonts w:ascii="仿宋_GB2312" w:eastAsia="仿宋_GB2312" w:hint="eastAsia"/>
          <w:sz w:val="28"/>
          <w:szCs w:val="28"/>
        </w:rPr>
        <w:t>2.</w:t>
      </w:r>
      <w:r>
        <w:rPr>
          <w:rFonts w:ascii="仿宋_GB2312" w:eastAsia="仿宋_GB2312" w:hint="eastAsia"/>
          <w:sz w:val="28"/>
          <w:szCs w:val="28"/>
        </w:rPr>
        <w:t>2015年度教学经费投入情况</w:t>
      </w:r>
    </w:p>
    <w:tbl>
      <w:tblPr>
        <w:tblW w:w="9286" w:type="dxa"/>
        <w:tblLayout w:type="fixed"/>
        <w:tblLook w:val="04A0" w:firstRow="1" w:lastRow="0" w:firstColumn="1" w:lastColumn="0" w:noHBand="0" w:noVBand="1"/>
      </w:tblPr>
      <w:tblGrid>
        <w:gridCol w:w="2776"/>
        <w:gridCol w:w="2121"/>
        <w:gridCol w:w="1704"/>
        <w:gridCol w:w="2685"/>
      </w:tblGrid>
      <w:tr w:rsidR="008D05C6" w:rsidRPr="008D05C6">
        <w:trPr>
          <w:trHeight w:val="599"/>
        </w:trPr>
        <w:tc>
          <w:tcPr>
            <w:tcW w:w="2776" w:type="dxa"/>
            <w:tcBorders>
              <w:top w:val="single" w:sz="4" w:space="0" w:color="auto"/>
              <w:left w:val="single" w:sz="4" w:space="0" w:color="auto"/>
              <w:bottom w:val="single" w:sz="4" w:space="0" w:color="auto"/>
              <w:right w:val="single" w:sz="4" w:space="0" w:color="auto"/>
            </w:tcBorders>
            <w:vAlign w:val="center"/>
          </w:tcPr>
          <w:p w:rsidR="003D2032" w:rsidRPr="008D05C6" w:rsidRDefault="007A301F">
            <w:pPr>
              <w:spacing w:line="600" w:lineRule="exact"/>
              <w:jc w:val="center"/>
              <w:rPr>
                <w:rFonts w:ascii="仿宋_GB2312" w:eastAsia="仿宋_GB2312"/>
                <w:sz w:val="32"/>
                <w:szCs w:val="32"/>
              </w:rPr>
            </w:pPr>
            <w:r w:rsidRPr="008D05C6">
              <w:rPr>
                <w:rFonts w:ascii="仿宋_GB2312" w:eastAsia="仿宋_GB2312" w:hint="eastAsia"/>
                <w:sz w:val="32"/>
                <w:szCs w:val="32"/>
              </w:rPr>
              <w:t>项  目</w:t>
            </w:r>
          </w:p>
        </w:tc>
        <w:tc>
          <w:tcPr>
            <w:tcW w:w="2121" w:type="dxa"/>
            <w:tcBorders>
              <w:top w:val="single" w:sz="4" w:space="0" w:color="auto"/>
              <w:left w:val="nil"/>
              <w:bottom w:val="single" w:sz="4" w:space="0" w:color="auto"/>
              <w:right w:val="single" w:sz="4" w:space="0" w:color="auto"/>
            </w:tcBorders>
            <w:vAlign w:val="center"/>
          </w:tcPr>
          <w:p w:rsidR="003D2032" w:rsidRPr="008D05C6" w:rsidRDefault="007A301F">
            <w:pPr>
              <w:spacing w:line="600" w:lineRule="exact"/>
              <w:jc w:val="center"/>
              <w:rPr>
                <w:rFonts w:ascii="仿宋_GB2312" w:eastAsia="仿宋_GB2312"/>
                <w:sz w:val="32"/>
                <w:szCs w:val="32"/>
              </w:rPr>
            </w:pPr>
            <w:r w:rsidRPr="008D05C6">
              <w:rPr>
                <w:rFonts w:ascii="仿宋_GB2312" w:eastAsia="仿宋_GB2312" w:hint="eastAsia"/>
                <w:sz w:val="32"/>
                <w:szCs w:val="32"/>
              </w:rPr>
              <w:t>总投入经费</w:t>
            </w:r>
          </w:p>
          <w:p w:rsidR="003D2032" w:rsidRPr="008D05C6" w:rsidRDefault="007A301F">
            <w:pPr>
              <w:spacing w:line="600" w:lineRule="exact"/>
              <w:jc w:val="center"/>
              <w:rPr>
                <w:rFonts w:ascii="仿宋_GB2312" w:eastAsia="仿宋_GB2312"/>
                <w:sz w:val="32"/>
                <w:szCs w:val="32"/>
              </w:rPr>
            </w:pPr>
            <w:r w:rsidRPr="008D05C6">
              <w:rPr>
                <w:rFonts w:ascii="仿宋_GB2312" w:eastAsia="仿宋_GB2312" w:hint="eastAsia"/>
                <w:sz w:val="32"/>
                <w:szCs w:val="32"/>
              </w:rPr>
              <w:t>（万元）</w:t>
            </w:r>
          </w:p>
        </w:tc>
        <w:tc>
          <w:tcPr>
            <w:tcW w:w="1704" w:type="dxa"/>
            <w:tcBorders>
              <w:top w:val="single" w:sz="4" w:space="0" w:color="auto"/>
              <w:left w:val="nil"/>
              <w:bottom w:val="single" w:sz="4" w:space="0" w:color="auto"/>
              <w:right w:val="single" w:sz="4" w:space="0" w:color="auto"/>
            </w:tcBorders>
            <w:vAlign w:val="center"/>
          </w:tcPr>
          <w:p w:rsidR="003D2032" w:rsidRPr="008D05C6" w:rsidRDefault="007A301F">
            <w:pPr>
              <w:spacing w:line="600" w:lineRule="exact"/>
              <w:jc w:val="center"/>
              <w:rPr>
                <w:rFonts w:ascii="仿宋_GB2312" w:eastAsia="仿宋_GB2312"/>
                <w:sz w:val="32"/>
                <w:szCs w:val="32"/>
              </w:rPr>
            </w:pPr>
            <w:r w:rsidRPr="008D05C6">
              <w:rPr>
                <w:rFonts w:ascii="仿宋_GB2312" w:eastAsia="仿宋_GB2312" w:hint="eastAsia"/>
                <w:sz w:val="32"/>
                <w:szCs w:val="32"/>
              </w:rPr>
              <w:t>学生人数</w:t>
            </w:r>
          </w:p>
        </w:tc>
        <w:tc>
          <w:tcPr>
            <w:tcW w:w="2685" w:type="dxa"/>
            <w:tcBorders>
              <w:top w:val="single" w:sz="4" w:space="0" w:color="auto"/>
              <w:left w:val="nil"/>
              <w:bottom w:val="single" w:sz="4" w:space="0" w:color="auto"/>
              <w:right w:val="single" w:sz="4" w:space="0" w:color="auto"/>
            </w:tcBorders>
            <w:vAlign w:val="center"/>
          </w:tcPr>
          <w:p w:rsidR="003D2032" w:rsidRPr="008D05C6" w:rsidRDefault="007A301F">
            <w:pPr>
              <w:spacing w:line="600" w:lineRule="exact"/>
              <w:jc w:val="center"/>
              <w:rPr>
                <w:rFonts w:ascii="仿宋_GB2312" w:eastAsia="仿宋_GB2312"/>
                <w:sz w:val="32"/>
                <w:szCs w:val="32"/>
              </w:rPr>
            </w:pPr>
            <w:r w:rsidRPr="008D05C6">
              <w:rPr>
                <w:rFonts w:ascii="仿宋_GB2312" w:eastAsia="仿宋_GB2312" w:hint="eastAsia"/>
                <w:sz w:val="32"/>
                <w:szCs w:val="32"/>
              </w:rPr>
              <w:t>生均投入经费</w:t>
            </w:r>
          </w:p>
          <w:p w:rsidR="003D2032" w:rsidRPr="008D05C6" w:rsidRDefault="007A301F">
            <w:pPr>
              <w:spacing w:line="600" w:lineRule="exact"/>
              <w:jc w:val="center"/>
              <w:rPr>
                <w:rFonts w:ascii="仿宋_GB2312" w:eastAsia="仿宋_GB2312"/>
                <w:sz w:val="32"/>
                <w:szCs w:val="32"/>
              </w:rPr>
            </w:pPr>
            <w:r w:rsidRPr="008D05C6">
              <w:rPr>
                <w:rFonts w:ascii="仿宋_GB2312" w:eastAsia="仿宋_GB2312" w:hint="eastAsia"/>
                <w:sz w:val="32"/>
                <w:szCs w:val="32"/>
              </w:rPr>
              <w:t>（元/人）</w:t>
            </w:r>
          </w:p>
        </w:tc>
      </w:tr>
      <w:tr w:rsidR="002D6C38" w:rsidRPr="002D6C38">
        <w:trPr>
          <w:trHeight w:val="514"/>
        </w:trPr>
        <w:tc>
          <w:tcPr>
            <w:tcW w:w="2776" w:type="dxa"/>
            <w:tcBorders>
              <w:top w:val="nil"/>
              <w:left w:val="single" w:sz="4" w:space="0" w:color="auto"/>
              <w:bottom w:val="single" w:sz="4" w:space="0" w:color="auto"/>
              <w:right w:val="single" w:sz="4" w:space="0" w:color="auto"/>
            </w:tcBorders>
            <w:shd w:val="clear" w:color="auto" w:fill="auto"/>
            <w:vAlign w:val="center"/>
          </w:tcPr>
          <w:p w:rsidR="003D2032" w:rsidRPr="005103EE" w:rsidRDefault="007A301F">
            <w:pPr>
              <w:spacing w:line="600" w:lineRule="exact"/>
              <w:jc w:val="center"/>
              <w:rPr>
                <w:rFonts w:ascii="仿宋_GB2312" w:eastAsia="仿宋_GB2312"/>
                <w:sz w:val="32"/>
                <w:szCs w:val="32"/>
              </w:rPr>
            </w:pPr>
            <w:r w:rsidRPr="005103EE">
              <w:rPr>
                <w:rFonts w:ascii="仿宋_GB2312" w:eastAsia="仿宋_GB2312" w:hint="eastAsia"/>
                <w:sz w:val="32"/>
                <w:szCs w:val="32"/>
              </w:rPr>
              <w:t>教学日常运行支出</w:t>
            </w:r>
          </w:p>
        </w:tc>
        <w:tc>
          <w:tcPr>
            <w:tcW w:w="2121" w:type="dxa"/>
            <w:tcBorders>
              <w:top w:val="nil"/>
              <w:left w:val="nil"/>
              <w:bottom w:val="nil"/>
              <w:right w:val="single" w:sz="4" w:space="0" w:color="auto"/>
            </w:tcBorders>
            <w:shd w:val="clear" w:color="000000" w:fill="FFFFFF"/>
            <w:vAlign w:val="center"/>
          </w:tcPr>
          <w:p w:rsidR="003D2032" w:rsidRPr="0007507A" w:rsidRDefault="00581779">
            <w:pPr>
              <w:spacing w:line="600" w:lineRule="exact"/>
              <w:jc w:val="center"/>
              <w:rPr>
                <w:rFonts w:ascii="仿宋_GB2312" w:eastAsia="仿宋_GB2312"/>
                <w:sz w:val="32"/>
                <w:szCs w:val="32"/>
              </w:rPr>
            </w:pPr>
            <w:r w:rsidRPr="0007507A">
              <w:rPr>
                <w:rFonts w:ascii="仿宋_GB2312" w:eastAsia="仿宋_GB2312" w:hint="eastAsia"/>
                <w:sz w:val="32"/>
                <w:szCs w:val="32"/>
              </w:rPr>
              <w:t>2991.07</w:t>
            </w:r>
          </w:p>
        </w:tc>
        <w:tc>
          <w:tcPr>
            <w:tcW w:w="1704" w:type="dxa"/>
            <w:tcBorders>
              <w:top w:val="nil"/>
              <w:left w:val="nil"/>
              <w:bottom w:val="nil"/>
              <w:right w:val="single" w:sz="4" w:space="0" w:color="auto"/>
            </w:tcBorders>
            <w:shd w:val="clear" w:color="auto" w:fill="auto"/>
            <w:vAlign w:val="center"/>
          </w:tcPr>
          <w:p w:rsidR="003D2032" w:rsidRPr="0007507A" w:rsidRDefault="007A301F">
            <w:pPr>
              <w:spacing w:line="600" w:lineRule="exact"/>
              <w:jc w:val="center"/>
              <w:rPr>
                <w:rFonts w:ascii="仿宋_GB2312" w:eastAsia="仿宋_GB2312"/>
                <w:sz w:val="32"/>
                <w:szCs w:val="32"/>
              </w:rPr>
            </w:pPr>
            <w:r w:rsidRPr="0007507A">
              <w:rPr>
                <w:rFonts w:ascii="仿宋_GB2312" w:eastAsia="仿宋_GB2312" w:hint="eastAsia"/>
                <w:sz w:val="32"/>
                <w:szCs w:val="32"/>
              </w:rPr>
              <w:t>9141</w:t>
            </w:r>
          </w:p>
        </w:tc>
        <w:tc>
          <w:tcPr>
            <w:tcW w:w="2685" w:type="dxa"/>
            <w:tcBorders>
              <w:top w:val="nil"/>
              <w:left w:val="nil"/>
              <w:bottom w:val="nil"/>
              <w:right w:val="single" w:sz="4" w:space="0" w:color="auto"/>
            </w:tcBorders>
            <w:shd w:val="clear" w:color="000000" w:fill="FFFFFF"/>
            <w:vAlign w:val="center"/>
          </w:tcPr>
          <w:p w:rsidR="003D2032" w:rsidRPr="0007507A" w:rsidRDefault="005103EE">
            <w:pPr>
              <w:spacing w:line="600" w:lineRule="exact"/>
              <w:jc w:val="center"/>
              <w:rPr>
                <w:rFonts w:ascii="仿宋_GB2312" w:eastAsia="仿宋_GB2312"/>
                <w:sz w:val="32"/>
                <w:szCs w:val="32"/>
              </w:rPr>
            </w:pPr>
            <w:r w:rsidRPr="0007507A">
              <w:rPr>
                <w:rFonts w:ascii="仿宋_GB2312" w:eastAsia="仿宋_GB2312" w:hint="eastAsia"/>
                <w:sz w:val="32"/>
                <w:szCs w:val="32"/>
              </w:rPr>
              <w:t>3272.15</w:t>
            </w:r>
          </w:p>
        </w:tc>
      </w:tr>
      <w:tr w:rsidR="002D6C38" w:rsidRPr="002D6C38">
        <w:trPr>
          <w:trHeight w:val="549"/>
        </w:trPr>
        <w:tc>
          <w:tcPr>
            <w:tcW w:w="2776" w:type="dxa"/>
            <w:tcBorders>
              <w:top w:val="nil"/>
              <w:left w:val="single" w:sz="4" w:space="0" w:color="auto"/>
              <w:bottom w:val="single" w:sz="4" w:space="0" w:color="auto"/>
              <w:right w:val="single" w:sz="4" w:space="0" w:color="auto"/>
            </w:tcBorders>
            <w:shd w:val="clear" w:color="auto" w:fill="auto"/>
            <w:vAlign w:val="center"/>
          </w:tcPr>
          <w:p w:rsidR="003D2032" w:rsidRPr="005103EE" w:rsidRDefault="007A301F">
            <w:pPr>
              <w:spacing w:line="600" w:lineRule="exact"/>
              <w:jc w:val="center"/>
              <w:rPr>
                <w:rFonts w:ascii="仿宋_GB2312" w:eastAsia="仿宋_GB2312"/>
                <w:sz w:val="32"/>
                <w:szCs w:val="32"/>
              </w:rPr>
            </w:pPr>
            <w:r w:rsidRPr="005103EE">
              <w:rPr>
                <w:rFonts w:ascii="仿宋_GB2312" w:eastAsia="仿宋_GB2312" w:hint="eastAsia"/>
                <w:sz w:val="32"/>
                <w:szCs w:val="32"/>
              </w:rPr>
              <w:t>本科专项教学经费</w:t>
            </w:r>
          </w:p>
        </w:tc>
        <w:tc>
          <w:tcPr>
            <w:tcW w:w="2121" w:type="dxa"/>
            <w:tcBorders>
              <w:top w:val="single" w:sz="4" w:space="0" w:color="auto"/>
              <w:left w:val="nil"/>
              <w:bottom w:val="single" w:sz="4" w:space="0" w:color="auto"/>
              <w:right w:val="single" w:sz="4" w:space="0" w:color="auto"/>
            </w:tcBorders>
            <w:shd w:val="clear" w:color="000000" w:fill="FFFFFF"/>
            <w:vAlign w:val="center"/>
          </w:tcPr>
          <w:p w:rsidR="003D2032" w:rsidRPr="0007507A" w:rsidRDefault="009E6E1C">
            <w:pPr>
              <w:spacing w:line="600" w:lineRule="exact"/>
              <w:jc w:val="center"/>
              <w:rPr>
                <w:rFonts w:ascii="仿宋_GB2312" w:eastAsia="仿宋_GB2312"/>
                <w:sz w:val="32"/>
                <w:szCs w:val="32"/>
              </w:rPr>
            </w:pPr>
            <w:r w:rsidRPr="0007507A">
              <w:rPr>
                <w:rFonts w:ascii="仿宋_GB2312" w:eastAsia="仿宋_GB2312" w:hint="eastAsia"/>
                <w:sz w:val="32"/>
                <w:szCs w:val="32"/>
              </w:rPr>
              <w:t>2102.46</w:t>
            </w:r>
          </w:p>
        </w:tc>
        <w:tc>
          <w:tcPr>
            <w:tcW w:w="1704" w:type="dxa"/>
            <w:tcBorders>
              <w:top w:val="single" w:sz="4" w:space="0" w:color="auto"/>
              <w:left w:val="nil"/>
              <w:bottom w:val="single" w:sz="4" w:space="0" w:color="auto"/>
              <w:right w:val="single" w:sz="4" w:space="0" w:color="auto"/>
            </w:tcBorders>
            <w:shd w:val="clear" w:color="auto" w:fill="auto"/>
            <w:vAlign w:val="center"/>
          </w:tcPr>
          <w:p w:rsidR="003D2032" w:rsidRPr="0007507A" w:rsidRDefault="007A301F">
            <w:pPr>
              <w:spacing w:line="600" w:lineRule="exact"/>
              <w:jc w:val="center"/>
              <w:rPr>
                <w:rFonts w:ascii="仿宋_GB2312" w:eastAsia="仿宋_GB2312"/>
                <w:sz w:val="32"/>
                <w:szCs w:val="32"/>
              </w:rPr>
            </w:pPr>
            <w:r w:rsidRPr="0007507A">
              <w:rPr>
                <w:rFonts w:ascii="仿宋_GB2312" w:eastAsia="仿宋_GB2312" w:hint="eastAsia"/>
                <w:sz w:val="32"/>
                <w:szCs w:val="32"/>
              </w:rPr>
              <w:t>9141</w:t>
            </w:r>
          </w:p>
        </w:tc>
        <w:tc>
          <w:tcPr>
            <w:tcW w:w="2685" w:type="dxa"/>
            <w:tcBorders>
              <w:top w:val="single" w:sz="4" w:space="0" w:color="auto"/>
              <w:left w:val="nil"/>
              <w:bottom w:val="single" w:sz="4" w:space="0" w:color="auto"/>
              <w:right w:val="single" w:sz="4" w:space="0" w:color="auto"/>
            </w:tcBorders>
            <w:shd w:val="clear" w:color="000000" w:fill="FFFFFF"/>
            <w:vAlign w:val="center"/>
          </w:tcPr>
          <w:p w:rsidR="003D2032" w:rsidRPr="0007507A" w:rsidRDefault="005103EE">
            <w:pPr>
              <w:spacing w:line="600" w:lineRule="exact"/>
              <w:jc w:val="center"/>
              <w:rPr>
                <w:rFonts w:ascii="仿宋_GB2312" w:eastAsia="仿宋_GB2312"/>
                <w:sz w:val="32"/>
                <w:szCs w:val="32"/>
              </w:rPr>
            </w:pPr>
            <w:r w:rsidRPr="0007507A">
              <w:rPr>
                <w:rFonts w:ascii="仿宋_GB2312" w:eastAsia="仿宋_GB2312" w:hint="eastAsia"/>
                <w:sz w:val="32"/>
                <w:szCs w:val="32"/>
              </w:rPr>
              <w:t>2300.03</w:t>
            </w:r>
          </w:p>
        </w:tc>
      </w:tr>
      <w:tr w:rsidR="002D6C38" w:rsidRPr="002D6C38">
        <w:trPr>
          <w:trHeight w:val="557"/>
        </w:trPr>
        <w:tc>
          <w:tcPr>
            <w:tcW w:w="2776" w:type="dxa"/>
            <w:tcBorders>
              <w:top w:val="nil"/>
              <w:left w:val="single" w:sz="4" w:space="0" w:color="auto"/>
              <w:bottom w:val="single" w:sz="4" w:space="0" w:color="auto"/>
              <w:right w:val="single" w:sz="4" w:space="0" w:color="auto"/>
            </w:tcBorders>
            <w:shd w:val="clear" w:color="auto" w:fill="auto"/>
            <w:vAlign w:val="center"/>
          </w:tcPr>
          <w:p w:rsidR="003D2032" w:rsidRPr="005103EE" w:rsidRDefault="007A301F">
            <w:pPr>
              <w:spacing w:line="600" w:lineRule="exact"/>
              <w:jc w:val="center"/>
              <w:rPr>
                <w:rFonts w:ascii="仿宋_GB2312" w:eastAsia="仿宋_GB2312"/>
                <w:sz w:val="32"/>
                <w:szCs w:val="32"/>
              </w:rPr>
            </w:pPr>
            <w:r w:rsidRPr="005103EE">
              <w:rPr>
                <w:rFonts w:ascii="仿宋_GB2312" w:eastAsia="仿宋_GB2312" w:hint="eastAsia"/>
                <w:sz w:val="32"/>
                <w:szCs w:val="32"/>
              </w:rPr>
              <w:t>本科实验经费</w:t>
            </w:r>
          </w:p>
        </w:tc>
        <w:tc>
          <w:tcPr>
            <w:tcW w:w="2121" w:type="dxa"/>
            <w:tcBorders>
              <w:top w:val="nil"/>
              <w:left w:val="nil"/>
              <w:bottom w:val="single" w:sz="4" w:space="0" w:color="auto"/>
              <w:right w:val="single" w:sz="4" w:space="0" w:color="auto"/>
            </w:tcBorders>
            <w:shd w:val="clear" w:color="000000" w:fill="FFFFFF"/>
            <w:vAlign w:val="center"/>
          </w:tcPr>
          <w:p w:rsidR="003D2032" w:rsidRPr="0007507A" w:rsidRDefault="009E6E1C">
            <w:pPr>
              <w:spacing w:line="600" w:lineRule="exact"/>
              <w:jc w:val="center"/>
              <w:rPr>
                <w:rFonts w:ascii="仿宋_GB2312" w:eastAsia="仿宋_GB2312"/>
                <w:sz w:val="32"/>
                <w:szCs w:val="32"/>
              </w:rPr>
            </w:pPr>
            <w:r w:rsidRPr="0007507A">
              <w:rPr>
                <w:rFonts w:ascii="仿宋_GB2312" w:eastAsia="仿宋_GB2312" w:hint="eastAsia"/>
                <w:sz w:val="32"/>
                <w:szCs w:val="32"/>
              </w:rPr>
              <w:t>327.69</w:t>
            </w:r>
          </w:p>
        </w:tc>
        <w:tc>
          <w:tcPr>
            <w:tcW w:w="1704" w:type="dxa"/>
            <w:tcBorders>
              <w:top w:val="nil"/>
              <w:left w:val="nil"/>
              <w:bottom w:val="single" w:sz="4" w:space="0" w:color="auto"/>
              <w:right w:val="single" w:sz="4" w:space="0" w:color="auto"/>
            </w:tcBorders>
            <w:shd w:val="clear" w:color="000000" w:fill="FFFFFF"/>
            <w:vAlign w:val="center"/>
          </w:tcPr>
          <w:p w:rsidR="003D2032" w:rsidRPr="0007507A" w:rsidRDefault="007A301F">
            <w:pPr>
              <w:spacing w:line="600" w:lineRule="exact"/>
              <w:jc w:val="center"/>
              <w:rPr>
                <w:rFonts w:ascii="仿宋_GB2312" w:eastAsia="仿宋_GB2312"/>
                <w:sz w:val="32"/>
                <w:szCs w:val="32"/>
              </w:rPr>
            </w:pPr>
            <w:r w:rsidRPr="0007507A">
              <w:rPr>
                <w:rFonts w:ascii="仿宋_GB2312" w:eastAsia="仿宋_GB2312" w:hint="eastAsia"/>
                <w:sz w:val="32"/>
                <w:szCs w:val="32"/>
              </w:rPr>
              <w:t>9141</w:t>
            </w:r>
          </w:p>
        </w:tc>
        <w:tc>
          <w:tcPr>
            <w:tcW w:w="2685" w:type="dxa"/>
            <w:tcBorders>
              <w:top w:val="nil"/>
              <w:left w:val="nil"/>
              <w:bottom w:val="single" w:sz="4" w:space="0" w:color="auto"/>
              <w:right w:val="single" w:sz="4" w:space="0" w:color="auto"/>
            </w:tcBorders>
            <w:shd w:val="clear" w:color="000000" w:fill="FFFFFF"/>
            <w:vAlign w:val="center"/>
          </w:tcPr>
          <w:p w:rsidR="003D2032" w:rsidRPr="0007507A" w:rsidRDefault="009E6E1C">
            <w:pPr>
              <w:spacing w:line="600" w:lineRule="exact"/>
              <w:jc w:val="center"/>
              <w:rPr>
                <w:rFonts w:ascii="仿宋_GB2312" w:eastAsia="仿宋_GB2312"/>
                <w:sz w:val="32"/>
                <w:szCs w:val="32"/>
              </w:rPr>
            </w:pPr>
            <w:r w:rsidRPr="0007507A">
              <w:rPr>
                <w:rFonts w:ascii="仿宋_GB2312" w:eastAsia="仿宋_GB2312" w:hint="eastAsia"/>
                <w:sz w:val="32"/>
                <w:szCs w:val="32"/>
              </w:rPr>
              <w:t>358.48</w:t>
            </w:r>
          </w:p>
        </w:tc>
      </w:tr>
      <w:tr w:rsidR="002D6C38" w:rsidRPr="002D6C38">
        <w:trPr>
          <w:trHeight w:val="549"/>
        </w:trPr>
        <w:tc>
          <w:tcPr>
            <w:tcW w:w="2776" w:type="dxa"/>
            <w:tcBorders>
              <w:top w:val="nil"/>
              <w:left w:val="single" w:sz="4" w:space="0" w:color="auto"/>
              <w:bottom w:val="single" w:sz="4" w:space="0" w:color="auto"/>
              <w:right w:val="single" w:sz="4" w:space="0" w:color="auto"/>
            </w:tcBorders>
            <w:vAlign w:val="center"/>
          </w:tcPr>
          <w:p w:rsidR="003D2032" w:rsidRPr="005103EE" w:rsidRDefault="007A301F">
            <w:pPr>
              <w:spacing w:line="600" w:lineRule="exact"/>
              <w:jc w:val="center"/>
              <w:rPr>
                <w:rFonts w:ascii="仿宋_GB2312" w:eastAsia="仿宋_GB2312"/>
                <w:sz w:val="32"/>
                <w:szCs w:val="32"/>
              </w:rPr>
            </w:pPr>
            <w:r w:rsidRPr="005103EE">
              <w:rPr>
                <w:rFonts w:ascii="仿宋_GB2312" w:eastAsia="仿宋_GB2312" w:hint="eastAsia"/>
                <w:sz w:val="32"/>
                <w:szCs w:val="32"/>
              </w:rPr>
              <w:t>本科实习经费</w:t>
            </w:r>
          </w:p>
        </w:tc>
        <w:tc>
          <w:tcPr>
            <w:tcW w:w="2121" w:type="dxa"/>
            <w:tcBorders>
              <w:top w:val="nil"/>
              <w:left w:val="nil"/>
              <w:bottom w:val="single" w:sz="4" w:space="0" w:color="auto"/>
              <w:right w:val="single" w:sz="4" w:space="0" w:color="auto"/>
            </w:tcBorders>
            <w:vAlign w:val="center"/>
          </w:tcPr>
          <w:p w:rsidR="003D2032" w:rsidRPr="0007507A" w:rsidRDefault="009E6E1C">
            <w:pPr>
              <w:spacing w:line="600" w:lineRule="exact"/>
              <w:jc w:val="center"/>
              <w:rPr>
                <w:rFonts w:ascii="仿宋_GB2312" w:eastAsia="仿宋_GB2312"/>
                <w:sz w:val="32"/>
                <w:szCs w:val="32"/>
              </w:rPr>
            </w:pPr>
            <w:r w:rsidRPr="0007507A">
              <w:rPr>
                <w:rFonts w:ascii="仿宋_GB2312" w:eastAsia="仿宋_GB2312" w:hint="eastAsia"/>
                <w:sz w:val="32"/>
                <w:szCs w:val="32"/>
              </w:rPr>
              <w:t>64.77</w:t>
            </w:r>
          </w:p>
        </w:tc>
        <w:tc>
          <w:tcPr>
            <w:tcW w:w="1704" w:type="dxa"/>
            <w:tcBorders>
              <w:top w:val="nil"/>
              <w:left w:val="nil"/>
              <w:bottom w:val="single" w:sz="4" w:space="0" w:color="auto"/>
              <w:right w:val="single" w:sz="4" w:space="0" w:color="auto"/>
            </w:tcBorders>
            <w:vAlign w:val="center"/>
          </w:tcPr>
          <w:p w:rsidR="003D2032" w:rsidRPr="0007507A" w:rsidRDefault="007A301F">
            <w:pPr>
              <w:spacing w:line="600" w:lineRule="exact"/>
              <w:jc w:val="center"/>
              <w:rPr>
                <w:rFonts w:ascii="仿宋_GB2312" w:eastAsia="仿宋_GB2312"/>
                <w:sz w:val="32"/>
                <w:szCs w:val="32"/>
              </w:rPr>
            </w:pPr>
            <w:r w:rsidRPr="0007507A">
              <w:rPr>
                <w:rFonts w:ascii="仿宋_GB2312" w:eastAsia="仿宋_GB2312" w:hint="eastAsia"/>
                <w:sz w:val="32"/>
                <w:szCs w:val="32"/>
              </w:rPr>
              <w:t>9141</w:t>
            </w:r>
          </w:p>
        </w:tc>
        <w:tc>
          <w:tcPr>
            <w:tcW w:w="2685" w:type="dxa"/>
            <w:tcBorders>
              <w:top w:val="nil"/>
              <w:left w:val="nil"/>
              <w:bottom w:val="single" w:sz="4" w:space="0" w:color="auto"/>
              <w:right w:val="single" w:sz="4" w:space="0" w:color="auto"/>
            </w:tcBorders>
            <w:vAlign w:val="center"/>
          </w:tcPr>
          <w:p w:rsidR="003D2032" w:rsidRPr="0007507A" w:rsidRDefault="009E6E1C">
            <w:pPr>
              <w:spacing w:line="600" w:lineRule="exact"/>
              <w:jc w:val="center"/>
              <w:rPr>
                <w:rFonts w:ascii="仿宋_GB2312" w:eastAsia="仿宋_GB2312"/>
                <w:sz w:val="32"/>
                <w:szCs w:val="32"/>
              </w:rPr>
            </w:pPr>
            <w:r w:rsidRPr="0007507A">
              <w:rPr>
                <w:rFonts w:ascii="仿宋_GB2312" w:eastAsia="仿宋_GB2312" w:hint="eastAsia"/>
                <w:sz w:val="32"/>
                <w:szCs w:val="32"/>
              </w:rPr>
              <w:t>70.86</w:t>
            </w:r>
          </w:p>
        </w:tc>
      </w:tr>
    </w:tbl>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（四）图书及信息资源应用情况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图书馆在文献资源建设上强调纸质文献资源与电子文献资源并重，形成了以管理类为主，文、经、工、艺术多学科协调发展、突出特色专业的馆藏结构。截止2015年底，馆藏纸质图书71.2001万册，生均图书75.4册，电子图书24.3万册，电子期刊4092种，</w:t>
      </w:r>
      <w:r>
        <w:rPr>
          <w:rFonts w:ascii="仿宋_GB2312" w:eastAsia="仿宋_GB2312" w:hint="eastAsia"/>
          <w:sz w:val="32"/>
          <w:szCs w:val="32"/>
        </w:rPr>
        <w:lastRenderedPageBreak/>
        <w:t>各类数据库2种。2015年，接待入馆读者2.95万人次，总借还图书约1.3万册，电子文献资源访问量226万余次，下载量14万余篇次，文献传递量27万余次。</w:t>
      </w:r>
    </w:p>
    <w:p w:rsidR="003D2032" w:rsidRDefault="007A301F">
      <w:pPr>
        <w:spacing w:line="600" w:lineRule="exact"/>
        <w:ind w:firstLineChars="200" w:firstLine="640"/>
        <w:rPr>
          <w:rFonts w:ascii="黑体" w:eastAsia="黑体"/>
          <w:sz w:val="32"/>
          <w:szCs w:val="32"/>
        </w:rPr>
      </w:pPr>
      <w:r>
        <w:rPr>
          <w:rFonts w:ascii="黑体" w:eastAsia="黑体" w:hint="eastAsia"/>
          <w:sz w:val="32"/>
          <w:szCs w:val="32"/>
        </w:rPr>
        <w:t>三、教学建设与改革</w:t>
      </w:r>
    </w:p>
    <w:p w:rsidR="003D2032" w:rsidRPr="006000E0" w:rsidRDefault="007A301F" w:rsidP="006000E0">
      <w:pPr>
        <w:spacing w:line="600" w:lineRule="exact"/>
        <w:ind w:firstLineChars="196" w:firstLine="630"/>
        <w:rPr>
          <w:rFonts w:ascii="楷体_GB2312" w:eastAsia="楷体_GB2312"/>
          <w:b/>
          <w:sz w:val="32"/>
          <w:szCs w:val="32"/>
        </w:rPr>
      </w:pPr>
      <w:r w:rsidRPr="006000E0">
        <w:rPr>
          <w:rFonts w:ascii="楷体_GB2312" w:eastAsia="楷体_GB2312" w:hAnsi="楷体" w:cs="楷体" w:hint="eastAsia"/>
          <w:b/>
          <w:sz w:val="32"/>
          <w:szCs w:val="32"/>
        </w:rPr>
        <w:t xml:space="preserve">（一）学科专业建设与改革  </w:t>
      </w:r>
      <w:r w:rsidRPr="006000E0">
        <w:rPr>
          <w:rFonts w:ascii="楷体_GB2312" w:eastAsia="楷体_GB2312" w:hint="eastAsia"/>
          <w:b/>
          <w:sz w:val="32"/>
          <w:szCs w:val="32"/>
        </w:rPr>
        <w:t xml:space="preserve"> </w:t>
      </w:r>
    </w:p>
    <w:p w:rsidR="003D2032" w:rsidRDefault="007A301F">
      <w:pPr>
        <w:spacing w:line="600" w:lineRule="exact"/>
        <w:ind w:firstLineChars="200" w:firstLine="640"/>
        <w:rPr>
          <w:rFonts w:ascii="仿宋_GB2312" w:eastAsia="仿宋_GB2312"/>
          <w:color w:val="0000FF"/>
          <w:sz w:val="32"/>
          <w:szCs w:val="32"/>
        </w:rPr>
      </w:pPr>
      <w:r>
        <w:rPr>
          <w:rFonts w:ascii="仿宋_GB2312" w:eastAsia="仿宋_GB2312" w:hint="eastAsia"/>
          <w:sz w:val="32"/>
          <w:szCs w:val="32"/>
        </w:rPr>
        <w:t>在过去十五年的办学积累中，学院充分利用既有教育资源，优化学科专业结构，拓宽专业口径，以社会需求为导向，合理设置专业，初步形成了多学科稳步发展的专业结构与布局。</w:t>
      </w:r>
    </w:p>
    <w:p w:rsidR="003D2032" w:rsidRDefault="007A301F">
      <w:pPr>
        <w:spacing w:line="600" w:lineRule="exact"/>
        <w:ind w:firstLineChars="196" w:firstLine="630"/>
        <w:rPr>
          <w:rFonts w:ascii="仿宋_GB2312" w:eastAsia="仿宋_GB2312"/>
          <w:b/>
          <w:sz w:val="32"/>
          <w:szCs w:val="32"/>
        </w:rPr>
      </w:pPr>
      <w:r>
        <w:rPr>
          <w:rFonts w:ascii="仿宋_GB2312" w:eastAsia="仿宋_GB2312" w:hint="eastAsia"/>
          <w:b/>
          <w:sz w:val="32"/>
          <w:szCs w:val="32"/>
        </w:rPr>
        <w:t>1.</w:t>
      </w:r>
      <w:r w:rsidR="00562459">
        <w:rPr>
          <w:rFonts w:ascii="仿宋_GB2312" w:eastAsia="仿宋_GB2312" w:hint="eastAsia"/>
          <w:b/>
          <w:sz w:val="32"/>
          <w:szCs w:val="32"/>
        </w:rPr>
        <w:t>学科</w:t>
      </w:r>
      <w:r>
        <w:rPr>
          <w:rFonts w:ascii="仿宋_GB2312" w:eastAsia="仿宋_GB2312" w:hint="eastAsia"/>
          <w:b/>
          <w:sz w:val="32"/>
          <w:szCs w:val="32"/>
        </w:rPr>
        <w:t>专业建设</w:t>
      </w:r>
    </w:p>
    <w:p w:rsidR="003D2032" w:rsidRPr="0004106C" w:rsidRDefault="007A301F" w:rsidP="00562459">
      <w:pPr>
        <w:pStyle w:val="a7"/>
        <w:shd w:val="clear" w:color="auto" w:fill="FFFFFF"/>
        <w:spacing w:line="600" w:lineRule="exact"/>
        <w:ind w:leftChars="-200" w:left="-420" w:rightChars="-200" w:right="-420" w:firstLineChars="200" w:firstLine="643"/>
        <w:rPr>
          <w:rFonts w:ascii="仿宋_GB2312" w:eastAsia="仿宋_GB2312"/>
          <w:b/>
          <w:sz w:val="32"/>
          <w:szCs w:val="32"/>
        </w:rPr>
      </w:pPr>
      <w:r w:rsidRPr="0004106C">
        <w:rPr>
          <w:rFonts w:ascii="仿宋_GB2312" w:eastAsia="仿宋_GB2312" w:hint="eastAsia"/>
          <w:b/>
          <w:sz w:val="32"/>
          <w:szCs w:val="32"/>
        </w:rPr>
        <w:t>（1）</w:t>
      </w:r>
      <w:r w:rsidR="00562459">
        <w:rPr>
          <w:rFonts w:ascii="仿宋_GB2312" w:eastAsia="仿宋_GB2312" w:hint="eastAsia"/>
          <w:b/>
          <w:sz w:val="32"/>
          <w:szCs w:val="32"/>
        </w:rPr>
        <w:t>特色学科专业优势凸显</w:t>
      </w:r>
    </w:p>
    <w:p w:rsidR="00562459" w:rsidRDefault="00562459" w:rsidP="00562459">
      <w:pPr>
        <w:pStyle w:val="a7"/>
        <w:shd w:val="clear" w:color="auto" w:fill="FFFFFF"/>
        <w:spacing w:line="600" w:lineRule="exact"/>
        <w:ind w:leftChars="-200" w:left="-420" w:rightChars="-200" w:right="-420" w:firstLineChars="200" w:firstLine="640"/>
        <w:rPr>
          <w:rFonts w:ascii="仿宋_GB2312" w:eastAsia="仿宋_GB2312" w:hAnsi="华文仿宋" w:cs="Times New Roman"/>
          <w:kern w:val="2"/>
          <w:sz w:val="32"/>
          <w:szCs w:val="32"/>
        </w:rPr>
      </w:pPr>
      <w:r>
        <w:rPr>
          <w:rFonts w:ascii="仿宋_GB2312" w:eastAsia="仿宋_GB2312" w:hint="eastAsia"/>
          <w:color w:val="000000"/>
          <w:sz w:val="32"/>
          <w:szCs w:val="32"/>
        </w:rPr>
        <w:t>我院以管理学科为龙头，逐步将旅游管理类专业打造成优势特色专业集群，人才培养定位准确、特色鲜明。旅游管理学院现开设旅游管理、酒店管理、会展经济与管理专业，为省内旅游管理类专业集群最完整的院校，为省内乃至全国旅游行业培养并输送了大批优秀人才。</w:t>
      </w:r>
    </w:p>
    <w:p w:rsidR="00562459" w:rsidRPr="00247CBA" w:rsidRDefault="008D5A9D" w:rsidP="00562459">
      <w:pPr>
        <w:pStyle w:val="a7"/>
        <w:shd w:val="clear" w:color="auto" w:fill="FFFFFF"/>
        <w:spacing w:line="600" w:lineRule="exact"/>
        <w:ind w:leftChars="-200" w:left="-420" w:rightChars="-200" w:right="-420" w:firstLineChars="200" w:firstLine="643"/>
        <w:rPr>
          <w:rFonts w:ascii="仿宋_GB2312" w:eastAsia="仿宋_GB2312"/>
          <w:b/>
          <w:sz w:val="32"/>
          <w:szCs w:val="32"/>
        </w:rPr>
      </w:pPr>
      <w:r w:rsidRPr="00247CBA">
        <w:rPr>
          <w:rFonts w:ascii="仿宋_GB2312" w:eastAsia="仿宋_GB2312" w:hint="eastAsia"/>
          <w:b/>
          <w:sz w:val="32"/>
          <w:szCs w:val="32"/>
        </w:rPr>
        <w:t>（2）</w:t>
      </w:r>
      <w:r w:rsidR="00562459" w:rsidRPr="00247CBA">
        <w:rPr>
          <w:rFonts w:ascii="仿宋_GB2312" w:eastAsia="仿宋_GB2312" w:hint="eastAsia"/>
          <w:b/>
          <w:sz w:val="32"/>
          <w:szCs w:val="32"/>
        </w:rPr>
        <w:t>积极打造建筑学专业集群</w:t>
      </w:r>
    </w:p>
    <w:p w:rsidR="008D5A9D" w:rsidRPr="00562459" w:rsidRDefault="00562459" w:rsidP="00562459">
      <w:pPr>
        <w:pStyle w:val="a7"/>
        <w:shd w:val="clear" w:color="auto" w:fill="FFFFFF"/>
        <w:spacing w:line="600" w:lineRule="exact"/>
        <w:ind w:leftChars="-200" w:left="-420" w:rightChars="-200" w:right="-420" w:firstLineChars="200" w:firstLine="640"/>
        <w:rPr>
          <w:rFonts w:ascii="仿宋_GB2312" w:eastAsia="仿宋_GB2312" w:hAnsi="华文仿宋" w:cs="Times New Roman"/>
          <w:kern w:val="2"/>
          <w:sz w:val="32"/>
          <w:szCs w:val="32"/>
        </w:rPr>
      </w:pPr>
      <w:r w:rsidRPr="00247CBA">
        <w:rPr>
          <w:rFonts w:ascii="仿宋_GB2312" w:eastAsia="仿宋_GB2312" w:hint="eastAsia"/>
          <w:sz w:val="32"/>
          <w:szCs w:val="32"/>
        </w:rPr>
        <w:t>2015年，学院成立了建筑学院，将原有建筑学专业、风景园林专业及本年度新增的土木工程专业统一调配至建筑学院，打造建筑学类专业集群，</w:t>
      </w:r>
      <w:r w:rsidRPr="00247CBA">
        <w:rPr>
          <w:rFonts w:ascii="仿宋_GB2312" w:eastAsia="仿宋_GB2312" w:hAnsi="华文仿宋" w:cs="Times New Roman" w:hint="eastAsia"/>
          <w:kern w:val="2"/>
          <w:sz w:val="32"/>
          <w:szCs w:val="32"/>
        </w:rPr>
        <w:t>至此，学院已在现有专业中基本形成旅游管理类、经济管理类、</w:t>
      </w:r>
      <w:r>
        <w:rPr>
          <w:rFonts w:ascii="仿宋_GB2312" w:eastAsia="仿宋_GB2312" w:hAnsi="华文仿宋" w:cs="Times New Roman" w:hint="eastAsia"/>
          <w:kern w:val="2"/>
          <w:sz w:val="32"/>
          <w:szCs w:val="32"/>
        </w:rPr>
        <w:t>外语类、</w:t>
      </w:r>
      <w:proofErr w:type="gramStart"/>
      <w:r>
        <w:rPr>
          <w:rFonts w:ascii="仿宋_GB2312" w:eastAsia="仿宋_GB2312" w:hAnsi="华文仿宋" w:cs="Times New Roman" w:hint="eastAsia"/>
          <w:kern w:val="2"/>
          <w:sz w:val="32"/>
          <w:szCs w:val="32"/>
        </w:rPr>
        <w:t>艺术类几大</w:t>
      </w:r>
      <w:proofErr w:type="gramEnd"/>
      <w:r>
        <w:rPr>
          <w:rFonts w:ascii="仿宋_GB2312" w:eastAsia="仿宋_GB2312" w:hAnsi="华文仿宋" w:cs="Times New Roman" w:hint="eastAsia"/>
          <w:kern w:val="2"/>
          <w:sz w:val="32"/>
          <w:szCs w:val="32"/>
        </w:rPr>
        <w:t>核心专业集群。集群</w:t>
      </w:r>
      <w:proofErr w:type="gramStart"/>
      <w:r>
        <w:rPr>
          <w:rFonts w:ascii="仿宋_GB2312" w:eastAsia="仿宋_GB2312" w:hAnsi="华文仿宋" w:cs="Times New Roman" w:hint="eastAsia"/>
          <w:kern w:val="2"/>
          <w:sz w:val="32"/>
          <w:szCs w:val="32"/>
        </w:rPr>
        <w:t>内专业</w:t>
      </w:r>
      <w:proofErr w:type="gramEnd"/>
      <w:r>
        <w:rPr>
          <w:rFonts w:ascii="仿宋_GB2312" w:eastAsia="仿宋_GB2312" w:hAnsi="华文仿宋" w:cs="Times New Roman" w:hint="eastAsia"/>
          <w:kern w:val="2"/>
          <w:sz w:val="32"/>
          <w:szCs w:val="32"/>
        </w:rPr>
        <w:t>互为支撑，实现资源共享最大化。</w:t>
      </w:r>
    </w:p>
    <w:p w:rsidR="003D2032" w:rsidRPr="0004106C" w:rsidRDefault="007A301F" w:rsidP="008D5A9D">
      <w:pPr>
        <w:spacing w:line="600" w:lineRule="exact"/>
        <w:ind w:firstLineChars="200" w:firstLine="643"/>
        <w:rPr>
          <w:rFonts w:ascii="仿宋_GB2312" w:eastAsia="仿宋_GB2312"/>
          <w:b/>
          <w:sz w:val="32"/>
          <w:szCs w:val="32"/>
        </w:rPr>
      </w:pPr>
      <w:r w:rsidRPr="0004106C">
        <w:rPr>
          <w:rFonts w:ascii="仿宋_GB2312" w:eastAsia="仿宋_GB2312" w:hint="eastAsia"/>
          <w:b/>
          <w:sz w:val="32"/>
          <w:szCs w:val="32"/>
        </w:rPr>
        <w:t>（</w:t>
      </w:r>
      <w:r w:rsidR="008D5A9D">
        <w:rPr>
          <w:rFonts w:ascii="仿宋_GB2312" w:eastAsia="仿宋_GB2312" w:hint="eastAsia"/>
          <w:b/>
          <w:sz w:val="32"/>
          <w:szCs w:val="32"/>
        </w:rPr>
        <w:t>3</w:t>
      </w:r>
      <w:r w:rsidRPr="0004106C">
        <w:rPr>
          <w:rFonts w:ascii="仿宋_GB2312" w:eastAsia="仿宋_GB2312" w:hint="eastAsia"/>
          <w:b/>
          <w:sz w:val="32"/>
          <w:szCs w:val="32"/>
        </w:rPr>
        <w:t>）原有专业集群优势凸显</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学院加大对原有优势专业集群投入力度，旅游管理（二级）优势特色重点学科建设初见成效。</w:t>
      </w:r>
    </w:p>
    <w:p w:rsidR="003D2032" w:rsidRPr="0004106C" w:rsidRDefault="007A301F" w:rsidP="0004106C">
      <w:pPr>
        <w:spacing w:line="600" w:lineRule="exact"/>
        <w:ind w:firstLineChars="200" w:firstLine="643"/>
        <w:rPr>
          <w:rFonts w:ascii="仿宋_GB2312" w:eastAsia="仿宋_GB2312"/>
          <w:b/>
          <w:sz w:val="32"/>
          <w:szCs w:val="32"/>
        </w:rPr>
      </w:pPr>
      <w:r w:rsidRPr="0004106C">
        <w:rPr>
          <w:rFonts w:ascii="仿宋_GB2312" w:eastAsia="仿宋_GB2312" w:hint="eastAsia"/>
          <w:b/>
          <w:sz w:val="32"/>
          <w:szCs w:val="32"/>
        </w:rPr>
        <w:t>（</w:t>
      </w:r>
      <w:r w:rsidR="008D5A9D">
        <w:rPr>
          <w:rFonts w:ascii="仿宋_GB2312" w:eastAsia="仿宋_GB2312" w:hint="eastAsia"/>
          <w:b/>
          <w:sz w:val="32"/>
          <w:szCs w:val="32"/>
        </w:rPr>
        <w:t>4</w:t>
      </w:r>
      <w:r w:rsidRPr="0004106C">
        <w:rPr>
          <w:rFonts w:ascii="仿宋_GB2312" w:eastAsia="仿宋_GB2312" w:hint="eastAsia"/>
          <w:b/>
          <w:sz w:val="32"/>
          <w:szCs w:val="32"/>
        </w:rPr>
        <w:t>）转型工作试点专业先行</w:t>
      </w:r>
    </w:p>
    <w:p w:rsidR="003D2032" w:rsidRDefault="007A301F">
      <w:pPr>
        <w:spacing w:line="600" w:lineRule="exact"/>
        <w:ind w:firstLineChars="200" w:firstLine="640"/>
        <w:rPr>
          <w:rFonts w:ascii="仿宋_GB2312" w:eastAsia="仿宋_GB2312" w:hAnsi="仿宋" w:cs="Tahoma"/>
          <w:bCs/>
          <w:sz w:val="32"/>
          <w:szCs w:val="32"/>
        </w:rPr>
      </w:pPr>
      <w:r>
        <w:rPr>
          <w:rFonts w:ascii="仿宋_GB2312" w:eastAsia="仿宋_GB2312" w:hAnsi="仿宋" w:cs="Tahoma" w:hint="eastAsia"/>
          <w:bCs/>
          <w:sz w:val="32"/>
          <w:szCs w:val="32"/>
        </w:rPr>
        <w:t>高等教育转型是高等教育适应经济社会发展需求，进行供给侧结构性改革的集中体现。</w:t>
      </w:r>
      <w:r>
        <w:rPr>
          <w:rFonts w:ascii="仿宋_GB2312" w:eastAsia="仿宋_GB2312" w:hint="eastAsia"/>
          <w:sz w:val="32"/>
          <w:szCs w:val="32"/>
        </w:rPr>
        <w:t>2015年，我院旅游管理专业集群获批为吉林省首批转型试点专业集群。</w:t>
      </w:r>
      <w:r>
        <w:rPr>
          <w:rFonts w:ascii="仿宋_GB2312" w:eastAsia="仿宋_GB2312" w:hAnsi="仿宋" w:cs="Tahoma" w:hint="eastAsia"/>
          <w:bCs/>
          <w:sz w:val="32"/>
          <w:szCs w:val="32"/>
        </w:rPr>
        <w:t>以旅游管理专业集群转型试点为切入点，深化校企融合，以行业企业需求为导向，改革人才培养模式，突出学生创新能力培养，根据人才培养模式的不同，制定差异化的人才培养方案，通过精细化的实施，实现培养高素质应用型人才的目标。</w:t>
      </w:r>
    </w:p>
    <w:p w:rsidR="003D2032" w:rsidRDefault="007A301F">
      <w:pPr>
        <w:spacing w:line="600" w:lineRule="exact"/>
        <w:ind w:firstLineChars="196" w:firstLine="630"/>
        <w:rPr>
          <w:rFonts w:ascii="仿宋_GB2312" w:eastAsia="仿宋_GB2312"/>
          <w:b/>
          <w:sz w:val="32"/>
          <w:szCs w:val="32"/>
        </w:rPr>
      </w:pPr>
      <w:r>
        <w:rPr>
          <w:rFonts w:ascii="仿宋_GB2312" w:eastAsia="仿宋_GB2312" w:hint="eastAsia"/>
          <w:b/>
          <w:sz w:val="32"/>
          <w:szCs w:val="32"/>
        </w:rPr>
        <w:t>2.课程建设</w:t>
      </w:r>
    </w:p>
    <w:p w:rsidR="003D2032" w:rsidRPr="0004106C" w:rsidRDefault="007A301F" w:rsidP="0004106C">
      <w:pPr>
        <w:spacing w:line="600" w:lineRule="exact"/>
        <w:ind w:firstLineChars="200" w:firstLine="643"/>
        <w:rPr>
          <w:rFonts w:ascii="仿宋_GB2312" w:eastAsia="仿宋_GB2312"/>
          <w:b/>
          <w:sz w:val="32"/>
          <w:szCs w:val="32"/>
        </w:rPr>
      </w:pPr>
      <w:r w:rsidRPr="0004106C">
        <w:rPr>
          <w:rFonts w:ascii="仿宋_GB2312" w:eastAsia="仿宋_GB2312" w:hint="eastAsia"/>
          <w:b/>
          <w:sz w:val="32"/>
          <w:szCs w:val="32"/>
        </w:rPr>
        <w:t>（1）本科生课程开设情况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2015年，学院为本科生开设课程总量为743门，其中选修课47门，创新创业类课程8门，实践教学学分占总学分比例18.79%。教授、副教授中有186人为本科生授课。</w:t>
      </w:r>
    </w:p>
    <w:p w:rsidR="003D2032" w:rsidRPr="0004106C" w:rsidRDefault="007A301F" w:rsidP="0004106C">
      <w:pPr>
        <w:spacing w:line="600" w:lineRule="exact"/>
        <w:ind w:firstLineChars="200" w:firstLine="643"/>
        <w:rPr>
          <w:rFonts w:ascii="仿宋_GB2312" w:eastAsia="仿宋_GB2312"/>
          <w:b/>
          <w:sz w:val="32"/>
          <w:szCs w:val="32"/>
        </w:rPr>
      </w:pPr>
      <w:r w:rsidRPr="0004106C">
        <w:rPr>
          <w:rFonts w:ascii="仿宋_GB2312" w:eastAsia="仿宋_GB2312" w:hint="eastAsia"/>
          <w:b/>
          <w:sz w:val="32"/>
          <w:szCs w:val="32"/>
        </w:rPr>
        <w:t>（2）配合应用型人才培养模式改革，构建多元化课程体系</w:t>
      </w:r>
    </w:p>
    <w:p w:rsidR="003D2032" w:rsidRDefault="007A301F">
      <w:pPr>
        <w:spacing w:line="600" w:lineRule="exact"/>
        <w:ind w:firstLineChars="250" w:firstLine="800"/>
        <w:rPr>
          <w:rFonts w:ascii="仿宋_GB2312" w:eastAsia="仿宋_GB2312"/>
          <w:sz w:val="32"/>
          <w:szCs w:val="32"/>
        </w:rPr>
      </w:pPr>
      <w:r>
        <w:rPr>
          <w:rFonts w:ascii="仿宋_GB2312" w:eastAsia="仿宋_GB2312" w:hint="eastAsia"/>
          <w:sz w:val="32"/>
          <w:szCs w:val="32"/>
        </w:rPr>
        <w:t>专业转型最终落脚点在于人才培养模式的改革。根据应用型人才培养的要求，本着“拓展学生的知识面、优化学生的知识结构”的宗旨，细化理论课程体系，在人才培养方案中构建专业课程、通识教育课程和公共基础课程三大课程体系。加大实践环节比重，根据学科专业类别不同，实践环节学时比重达到总学时的20%—40%。</w:t>
      </w:r>
    </w:p>
    <w:p w:rsidR="003D2032" w:rsidRPr="0004106C" w:rsidRDefault="007A301F" w:rsidP="0004106C">
      <w:pPr>
        <w:spacing w:line="600" w:lineRule="exact"/>
        <w:ind w:firstLineChars="200" w:firstLine="643"/>
        <w:rPr>
          <w:rFonts w:ascii="仿宋_GB2312" w:eastAsia="仿宋_GB2312"/>
          <w:b/>
          <w:sz w:val="32"/>
          <w:szCs w:val="32"/>
        </w:rPr>
      </w:pPr>
      <w:r w:rsidRPr="0004106C">
        <w:rPr>
          <w:rFonts w:ascii="仿宋_GB2312" w:eastAsia="仿宋_GB2312" w:hint="eastAsia"/>
          <w:b/>
          <w:sz w:val="32"/>
          <w:szCs w:val="32"/>
        </w:rPr>
        <w:t>（3）课程建设成果显著</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学院讨论通过《长春大学旅游学院精品课程建设实施意见》，构建起涵盖省级、校级精品课程体系，全面提升本科课程建设水平。学院一直重视课程建设，2015年学院建设校级精品课程1门。精品课程建设是教育教学改革的一个重要突破口，既有利于我院深化教学改革、提高教学质量，也有利于加强学院的品牌宣传，提高学院的知名度。</w:t>
      </w:r>
    </w:p>
    <w:p w:rsidR="003D2032" w:rsidRDefault="007A301F">
      <w:pPr>
        <w:spacing w:line="600" w:lineRule="exact"/>
        <w:ind w:firstLineChars="196" w:firstLine="630"/>
        <w:rPr>
          <w:rFonts w:ascii="仿宋_GB2312" w:eastAsia="仿宋_GB2312"/>
          <w:b/>
          <w:sz w:val="32"/>
          <w:szCs w:val="32"/>
        </w:rPr>
      </w:pPr>
      <w:r>
        <w:rPr>
          <w:rFonts w:ascii="仿宋_GB2312" w:eastAsia="仿宋_GB2312" w:hint="eastAsia"/>
          <w:b/>
          <w:sz w:val="32"/>
          <w:szCs w:val="32"/>
        </w:rPr>
        <w:t>3.教材建设</w:t>
      </w:r>
    </w:p>
    <w:p w:rsidR="003D2032" w:rsidRPr="00CA2F70" w:rsidRDefault="0019757A" w:rsidP="00CA2F70">
      <w:pPr>
        <w:pStyle w:val="a6"/>
        <w:ind w:firstLineChars="221" w:firstLine="707"/>
        <w:jc w:val="left"/>
        <w:rPr>
          <w:rFonts w:ascii="仿宋_GB2312" w:eastAsia="仿宋_GB2312" w:hAnsi="仿宋"/>
          <w:sz w:val="32"/>
          <w:szCs w:val="32"/>
        </w:rPr>
      </w:pPr>
      <w:r w:rsidRPr="0019757A">
        <w:rPr>
          <w:rFonts w:ascii="仿宋_GB2312" w:eastAsia="仿宋_GB2312" w:hAnsi="仿宋" w:hint="eastAsia"/>
          <w:sz w:val="32"/>
          <w:szCs w:val="32"/>
        </w:rPr>
        <w:t>学校修订了</w:t>
      </w:r>
      <w:r w:rsidR="00C60D66" w:rsidRPr="0019757A">
        <w:rPr>
          <w:rFonts w:ascii="仿宋_GB2312" w:eastAsia="仿宋_GB2312" w:hAnsi="仿宋" w:hint="eastAsia"/>
          <w:sz w:val="32"/>
          <w:szCs w:val="32"/>
        </w:rPr>
        <w:t>《长春大学旅游学院教材征订与发放管理规定》</w:t>
      </w:r>
      <w:r w:rsidR="00C60D66">
        <w:rPr>
          <w:rFonts w:ascii="仿宋_GB2312" w:eastAsia="仿宋_GB2312" w:hAnsi="仿宋" w:hint="eastAsia"/>
          <w:sz w:val="32"/>
          <w:szCs w:val="32"/>
        </w:rPr>
        <w:t>，制定了《长春大学旅游学院教师自编教材使用管理规定》</w:t>
      </w:r>
      <w:r w:rsidRPr="0019757A">
        <w:rPr>
          <w:rFonts w:ascii="仿宋_GB2312" w:eastAsia="仿宋_GB2312" w:hAnsi="仿宋" w:hint="eastAsia"/>
          <w:sz w:val="32"/>
          <w:szCs w:val="32"/>
        </w:rPr>
        <w:t>，进一步提高了教材选用质量，促进学院教材选用工作制度化、规范化和科学化，为学生能够用到高质量的教材提供了保证。</w:t>
      </w:r>
      <w:r w:rsidR="007A301F">
        <w:rPr>
          <w:rFonts w:ascii="仿宋_GB2312" w:eastAsia="仿宋_GB2312" w:hint="eastAsia"/>
          <w:sz w:val="32"/>
          <w:szCs w:val="32"/>
        </w:rPr>
        <w:t>2015年</w:t>
      </w:r>
      <w:r w:rsidR="00D5277D">
        <w:rPr>
          <w:rFonts w:ascii="仿宋_GB2312" w:eastAsia="仿宋_GB2312" w:hint="eastAsia"/>
          <w:sz w:val="32"/>
          <w:szCs w:val="32"/>
        </w:rPr>
        <w:t>度</w:t>
      </w:r>
      <w:r w:rsidR="007A301F">
        <w:rPr>
          <w:rFonts w:ascii="仿宋_GB2312" w:eastAsia="仿宋_GB2312" w:hint="eastAsia"/>
          <w:sz w:val="32"/>
          <w:szCs w:val="32"/>
        </w:rPr>
        <w:t>我院教师担任主编出版教材20部</w:t>
      </w:r>
      <w:r w:rsidR="00CA2F70">
        <w:rPr>
          <w:rFonts w:ascii="仿宋_GB2312" w:eastAsia="仿宋_GB2312" w:hint="eastAsia"/>
          <w:sz w:val="32"/>
          <w:szCs w:val="32"/>
        </w:rPr>
        <w:t>。</w:t>
      </w:r>
    </w:p>
    <w:p w:rsidR="003D2032" w:rsidRDefault="007A301F">
      <w:pPr>
        <w:spacing w:line="600" w:lineRule="exact"/>
        <w:ind w:firstLineChars="196" w:firstLine="630"/>
        <w:rPr>
          <w:rFonts w:ascii="仿宋_GB2312" w:eastAsia="仿宋_GB2312"/>
          <w:b/>
          <w:sz w:val="32"/>
          <w:szCs w:val="32"/>
        </w:rPr>
      </w:pPr>
      <w:r>
        <w:rPr>
          <w:rFonts w:ascii="仿宋_GB2312" w:eastAsia="仿宋_GB2312" w:hint="eastAsia"/>
          <w:b/>
          <w:sz w:val="32"/>
          <w:szCs w:val="32"/>
        </w:rPr>
        <w:t>4.教学改革</w:t>
      </w:r>
    </w:p>
    <w:p w:rsidR="003D2032" w:rsidRDefault="007A301F" w:rsidP="007A301F">
      <w:pPr>
        <w:spacing w:line="600" w:lineRule="exact"/>
        <w:ind w:firstLineChars="200" w:firstLine="562"/>
        <w:rPr>
          <w:rFonts w:ascii="仿宋_GB2312" w:eastAsia="仿宋_GB2312"/>
          <w:b/>
          <w:sz w:val="28"/>
          <w:szCs w:val="28"/>
        </w:rPr>
      </w:pPr>
      <w:bookmarkStart w:id="0" w:name="_Toc353472967"/>
      <w:r>
        <w:rPr>
          <w:rFonts w:ascii="仿宋_GB2312" w:eastAsia="仿宋_GB2312" w:hint="eastAsia"/>
          <w:b/>
          <w:sz w:val="28"/>
          <w:szCs w:val="28"/>
        </w:rPr>
        <w:t>（1）人才培养模式改革</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以旅游管理专业集群转型为切入点，以应用型人才培养为核心，以“理论基础扎实，实践能力强”为基本原则，在人才培养方案制定过程中强化实践教学，加大实践教学环节的比重。学院搭建多元化实践教学体系，以实践、实习、实训等第一课堂为核心，以大学生实践创新训练为辅助进行设计，为不同层次、不同方向发展的学生提供更加个性化的实践学习空间，使学生实践创新能力不断提高。旅游管理专业和酒店管理专业根据市场对人才需求，适时修订人才培养方案。根据学生入企实习后所反馈的意见及合作办学企业的意见反馈，调整人才培养方案课程设置及课</w:t>
      </w:r>
      <w:r>
        <w:rPr>
          <w:rFonts w:ascii="仿宋_GB2312" w:eastAsia="仿宋_GB2312" w:hint="eastAsia"/>
          <w:sz w:val="32"/>
          <w:szCs w:val="32"/>
        </w:rPr>
        <w:lastRenderedPageBreak/>
        <w:t>程内容，修订课程教学大纲，真正做到以企业和市场需求为导向培养人才。2015年，我院“旅游本科教育‘学院+行业’人才培养模式创新实验区”获批为省级人才培养模式创新实验区。</w:t>
      </w:r>
    </w:p>
    <w:p w:rsidR="003D2032" w:rsidRPr="0030236D" w:rsidRDefault="007A301F" w:rsidP="0030236D">
      <w:pPr>
        <w:spacing w:line="600" w:lineRule="exact"/>
        <w:ind w:firstLineChars="200" w:firstLine="643"/>
        <w:rPr>
          <w:rFonts w:ascii="仿宋_GB2312" w:eastAsia="仿宋_GB2312"/>
          <w:b/>
          <w:sz w:val="32"/>
          <w:szCs w:val="32"/>
        </w:rPr>
      </w:pPr>
      <w:r w:rsidRPr="0030236D">
        <w:rPr>
          <w:rFonts w:ascii="仿宋_GB2312" w:eastAsia="仿宋_GB2312" w:hint="eastAsia"/>
          <w:b/>
          <w:sz w:val="32"/>
          <w:szCs w:val="32"/>
        </w:rPr>
        <w:t>（2）重点培养学生创新创业思维</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积极将学生创新创业教育融入专业教学环节。继创新创业教育进入就业指导课程内容后，在专业课程体系中融入创新创业内容。鼓励专业课程教师积极研究创新创业与专业课有机融合，全方位、多层次培养学生创新创业能力。鼓励专业教师与就业指导课程教师共同指导学生参加吉林省教育厅、吉林省创业促进会举办的第二届“梦想杯”创业大赛，荣获了创业团队集体二等奖、优秀指导教师、最佳组织奖等多项荣誉。在吉林省首届“互联网+”大学生创新创业大赛中，我院参赛团队一举荣获银奖。</w:t>
      </w:r>
    </w:p>
    <w:p w:rsidR="003D2032" w:rsidRPr="0030236D" w:rsidRDefault="007A301F" w:rsidP="0030236D">
      <w:pPr>
        <w:spacing w:line="600" w:lineRule="exact"/>
        <w:ind w:firstLineChars="200" w:firstLine="643"/>
        <w:rPr>
          <w:rFonts w:ascii="仿宋_GB2312" w:eastAsia="仿宋_GB2312"/>
          <w:b/>
          <w:sz w:val="32"/>
          <w:szCs w:val="32"/>
        </w:rPr>
      </w:pPr>
      <w:r w:rsidRPr="0030236D">
        <w:rPr>
          <w:rFonts w:ascii="仿宋_GB2312" w:eastAsia="仿宋_GB2312" w:hint="eastAsia"/>
          <w:b/>
          <w:sz w:val="32"/>
          <w:szCs w:val="32"/>
        </w:rPr>
        <w:t>（3）课程改革</w:t>
      </w:r>
    </w:p>
    <w:p w:rsidR="003D2032" w:rsidRDefault="007A301F">
      <w:pPr>
        <w:spacing w:line="600" w:lineRule="exact"/>
        <w:ind w:firstLineChars="182" w:firstLine="582"/>
        <w:rPr>
          <w:rFonts w:ascii="仿宋_GB2312" w:eastAsia="仿宋_GB2312" w:hAnsi="宋体"/>
          <w:sz w:val="32"/>
          <w:szCs w:val="32"/>
        </w:rPr>
      </w:pPr>
      <w:r>
        <w:rPr>
          <w:rFonts w:ascii="仿宋_GB2312" w:eastAsia="仿宋_GB2312" w:hAnsi="宋体" w:hint="eastAsia"/>
          <w:sz w:val="32"/>
          <w:szCs w:val="32"/>
        </w:rPr>
        <w:t>模糊理论课堂与实践课堂的界限，尝试将实践课程融入课程教学环节，全方位强化学生动手实操的能力。</w:t>
      </w:r>
    </w:p>
    <w:p w:rsidR="003D2032" w:rsidRDefault="007A301F">
      <w:pPr>
        <w:spacing w:line="600" w:lineRule="exact"/>
        <w:ind w:firstLineChars="200" w:firstLine="640"/>
        <w:outlineLvl w:val="0"/>
        <w:rPr>
          <w:rFonts w:ascii="仿宋_GB2312" w:eastAsia="仿宋_GB2312" w:hAnsi="宋体"/>
          <w:sz w:val="32"/>
          <w:szCs w:val="32"/>
        </w:rPr>
      </w:pPr>
      <w:r>
        <w:rPr>
          <w:rFonts w:ascii="仿宋_GB2312" w:eastAsia="仿宋_GB2312" w:hAnsi="宋体" w:hint="eastAsia"/>
          <w:sz w:val="32"/>
          <w:szCs w:val="32"/>
        </w:rPr>
        <w:t>利用现代化教学手段，尝试实行线上与线下相结合的教学模式，如在会计学专业的《ERP沙盘模拟》实践教学环节，部分教师尝试使用“蓝墨云班课” 网络平台信息化课堂管理与教学手段，取得良好效果。</w:t>
      </w:r>
    </w:p>
    <w:p w:rsidR="003D2032" w:rsidRPr="0030236D" w:rsidRDefault="007A301F" w:rsidP="0030236D">
      <w:pPr>
        <w:spacing w:line="600" w:lineRule="exact"/>
        <w:ind w:firstLineChars="200" w:firstLine="643"/>
        <w:rPr>
          <w:rFonts w:ascii="仿宋_GB2312" w:eastAsia="仿宋_GB2312"/>
          <w:b/>
          <w:sz w:val="32"/>
          <w:szCs w:val="32"/>
        </w:rPr>
      </w:pPr>
      <w:bookmarkStart w:id="1" w:name="_Toc353472969"/>
      <w:r w:rsidRPr="0030236D">
        <w:rPr>
          <w:rFonts w:ascii="仿宋_GB2312" w:eastAsia="仿宋_GB2312" w:hint="eastAsia"/>
          <w:b/>
          <w:sz w:val="32"/>
          <w:szCs w:val="32"/>
        </w:rPr>
        <w:t>（4）教育教学改革研究</w:t>
      </w:r>
      <w:bookmarkEnd w:id="1"/>
      <w:r w:rsidRPr="0030236D">
        <w:rPr>
          <w:rFonts w:ascii="仿宋_GB2312" w:eastAsia="仿宋_GB2312" w:hint="eastAsia"/>
          <w:b/>
          <w:sz w:val="32"/>
          <w:szCs w:val="32"/>
        </w:rPr>
        <w:t>成果</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2015年，学院有10个项目被批准为吉林省教育科学“十二五”规划项目；2个项目被批准省教育厅教育教学改革项目；3个项目被批准为吉林省教育厅“十二五”社会科学研究项目；2个项目被</w:t>
      </w:r>
      <w:r>
        <w:rPr>
          <w:rFonts w:ascii="仿宋_GB2312" w:eastAsia="仿宋_GB2312" w:hint="eastAsia"/>
          <w:sz w:val="32"/>
          <w:szCs w:val="32"/>
        </w:rPr>
        <w:lastRenderedPageBreak/>
        <w:t>批准为省高等教育研究项目；1个项目被批准为吉林省社会科学基金外语专项研究项目，获批资金9.5万元。</w:t>
      </w:r>
    </w:p>
    <w:p w:rsidR="003D2032" w:rsidRPr="0030236D" w:rsidRDefault="007A301F" w:rsidP="0030236D">
      <w:pPr>
        <w:spacing w:line="600" w:lineRule="exact"/>
        <w:ind w:firstLineChars="196" w:firstLine="630"/>
        <w:rPr>
          <w:rFonts w:ascii="仿宋_GB2312" w:eastAsia="仿宋_GB2312"/>
          <w:b/>
          <w:sz w:val="32"/>
          <w:szCs w:val="32"/>
        </w:rPr>
      </w:pPr>
      <w:r w:rsidRPr="0030236D">
        <w:rPr>
          <w:rFonts w:ascii="仿宋_GB2312" w:eastAsia="仿宋_GB2312" w:hint="eastAsia"/>
          <w:b/>
          <w:sz w:val="32"/>
          <w:szCs w:val="32"/>
        </w:rPr>
        <w:t>5．加强国际交流项目</w:t>
      </w:r>
    </w:p>
    <w:bookmarkEnd w:id="0"/>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进一步拓宽思路，积极与国外高校建立校际友好合作关系，推动国际交流与合作。目前学院已与美国、俄罗斯、韩国、日本、泰国、台湾等多个国家和地区的16所高校建立了校际友好合作关系，实施国际化人才培养，为学生搭建平台，探索人才国际化培养的新途径。</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制定了学生国际化培养方案，利用学生“3+1”实践教学等环节积极开展联合培养。目前已有33名学生走出国门，其中6名学生赴日本，7名学生赴俄罗斯，12名学生赴韩国，8名学生赴台湾参加校际交流项目，提升了我院的办学层次和水平。</w:t>
      </w:r>
    </w:p>
    <w:p w:rsidR="003D2032" w:rsidRDefault="007A301F">
      <w:pPr>
        <w:spacing w:line="600" w:lineRule="exact"/>
        <w:ind w:firstLineChars="200" w:firstLine="640"/>
        <w:rPr>
          <w:rFonts w:ascii="黑体" w:eastAsia="黑体"/>
          <w:sz w:val="32"/>
          <w:szCs w:val="32"/>
        </w:rPr>
      </w:pPr>
      <w:r>
        <w:rPr>
          <w:rFonts w:ascii="黑体" w:eastAsia="黑体" w:hint="eastAsia"/>
          <w:sz w:val="32"/>
          <w:szCs w:val="32"/>
        </w:rPr>
        <w:t>四、质量保障体系</w:t>
      </w:r>
    </w:p>
    <w:p w:rsidR="003D2032" w:rsidRPr="006000E0" w:rsidRDefault="007A301F" w:rsidP="006000E0">
      <w:pPr>
        <w:spacing w:line="600" w:lineRule="exact"/>
        <w:ind w:firstLineChars="200" w:firstLine="643"/>
        <w:rPr>
          <w:rFonts w:ascii="楷体_GB2312" w:eastAsia="楷体_GB2312" w:hAnsi="楷体" w:cs="楷体"/>
          <w:b/>
          <w:sz w:val="32"/>
          <w:szCs w:val="32"/>
        </w:rPr>
      </w:pPr>
      <w:r w:rsidRPr="006000E0">
        <w:rPr>
          <w:rFonts w:ascii="楷体_GB2312" w:eastAsia="楷体_GB2312" w:hAnsi="楷体" w:cs="楷体" w:hint="eastAsia"/>
          <w:b/>
          <w:sz w:val="32"/>
          <w:szCs w:val="32"/>
        </w:rPr>
        <w:t>（一）加大教学专项投入，夯实教学中心地位</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以教学工作为中心，资源配置、经费安排和工作评价都体现以教学中心地位。2015年学院教学条件得到显著改善，将教学经费足额投入到教学工作中，巩固和突出了教学的中心地位，夯实了教学基础能力，实现了学院总体发展规划和人才培养目标，对全面提高本科教学质量具有重要意义。</w:t>
      </w: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（二）教学质量保障体系运行情况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学院不断完善教学质量监控与保障体系，通过规范教学环节、完善教学管理制度建设、加强监控力度等举措，构建了目标明确、评价合理的本科教学质量保障体系。</w:t>
      </w:r>
    </w:p>
    <w:p w:rsidR="003D2032" w:rsidRDefault="007A301F">
      <w:pPr>
        <w:spacing w:line="600" w:lineRule="exact"/>
        <w:ind w:firstLineChars="196" w:firstLine="630"/>
        <w:rPr>
          <w:rFonts w:ascii="仿宋_GB2312" w:eastAsia="仿宋_GB2312"/>
          <w:b/>
          <w:sz w:val="32"/>
          <w:szCs w:val="32"/>
        </w:rPr>
      </w:pPr>
      <w:r>
        <w:rPr>
          <w:rFonts w:ascii="仿宋_GB2312" w:eastAsia="仿宋_GB2312" w:hint="eastAsia"/>
          <w:b/>
          <w:sz w:val="32"/>
          <w:szCs w:val="32"/>
        </w:rPr>
        <w:lastRenderedPageBreak/>
        <w:t>1.课堂教学质量评价体系完善</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课堂教学质量评价体系分为四个层次，逐层深入，以学论教。课堂教学目标评价强调课堂教学的目标应符合专业内容的特点和学生的实际水平；课堂教学方案评价更加注重教师教案对教学目标及教学活动实施各环节要素的配合和体现；课堂教学过程评价更加体现教与学的综合评价，强调教师引导与学生学习的并重；课堂教学成果评价更加突出教学目标是否达成及原因分析。</w:t>
      </w:r>
    </w:p>
    <w:p w:rsidR="003D2032" w:rsidRDefault="007A301F">
      <w:pPr>
        <w:spacing w:line="600" w:lineRule="exact"/>
        <w:ind w:firstLineChars="200" w:firstLine="643"/>
        <w:rPr>
          <w:rFonts w:ascii="仿宋_GB2312" w:eastAsia="仿宋_GB2312"/>
          <w:b/>
          <w:sz w:val="32"/>
          <w:szCs w:val="32"/>
        </w:rPr>
      </w:pPr>
      <w:r>
        <w:rPr>
          <w:rFonts w:ascii="仿宋_GB2312" w:eastAsia="仿宋_GB2312" w:hint="eastAsia"/>
          <w:b/>
          <w:sz w:val="32"/>
          <w:szCs w:val="32"/>
        </w:rPr>
        <w:t>2.实践教学质量评价原则清晰</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制定了《实践教学管理规章制度》，教学管理部门充实专门工作人员负责实践教学管理工作。强调评教与评学相结合、过程评价与结果考评相结合、校内考评与校外考评相结合，多角度、有针对性、科学地评价实践性强、综合性强的实践教学环节。</w:t>
      </w:r>
    </w:p>
    <w:p w:rsidR="003D2032" w:rsidRPr="006000E0" w:rsidRDefault="007A301F" w:rsidP="006000E0">
      <w:pPr>
        <w:spacing w:line="600" w:lineRule="exact"/>
        <w:ind w:firstLineChars="200" w:firstLine="643"/>
        <w:rPr>
          <w:rFonts w:ascii="楷体_GB2312" w:eastAsia="楷体_GB2312" w:hAnsi="楷体" w:cs="楷体"/>
          <w:b/>
          <w:sz w:val="32"/>
          <w:szCs w:val="32"/>
        </w:rPr>
      </w:pPr>
      <w:r w:rsidRPr="006000E0">
        <w:rPr>
          <w:rFonts w:ascii="楷体_GB2312" w:eastAsia="楷体_GB2312" w:hAnsi="楷体" w:cs="楷体" w:hint="eastAsia"/>
          <w:b/>
          <w:sz w:val="32"/>
          <w:szCs w:val="32"/>
        </w:rPr>
        <w:t>（三）教学质量监督与管理过程规范</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在教学院长直接领导下的教学质量监督办公室全面监督学校教学质量、教学秩序等方面工作；以学校各教学单位（二级教学督导组）为主体，形成以分院院长为核心，以各学科带头人、教研室主任、教学骨干等为重点的教学质量监控与保障体系，做到各负其责各尽其职的教学督导理念，充分发挥两级教学督导组的作用。</w:t>
      </w:r>
    </w:p>
    <w:p w:rsidR="003D2032" w:rsidRDefault="007A301F">
      <w:pPr>
        <w:spacing w:line="600" w:lineRule="exact"/>
        <w:ind w:firstLineChars="196" w:firstLine="630"/>
        <w:rPr>
          <w:rFonts w:ascii="仿宋_GB2312" w:eastAsia="仿宋_GB2312"/>
          <w:b/>
          <w:sz w:val="32"/>
          <w:szCs w:val="32"/>
        </w:rPr>
      </w:pPr>
      <w:r>
        <w:rPr>
          <w:rFonts w:ascii="仿宋_GB2312" w:eastAsia="仿宋_GB2312" w:hint="eastAsia"/>
          <w:b/>
          <w:sz w:val="32"/>
          <w:szCs w:val="32"/>
        </w:rPr>
        <w:t>1.二级教学工作例会制</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我院为学院、分院二级教学工作例会制度。学院教学例会侧重于宏观监控学校教学工作质量，分院主抓管理现状、教科研问题等。该制度有效提高了教学管理工作的水平，促进了教学管理</w:t>
      </w:r>
      <w:r>
        <w:rPr>
          <w:rFonts w:ascii="仿宋_GB2312" w:eastAsia="仿宋_GB2312" w:hint="eastAsia"/>
          <w:sz w:val="32"/>
          <w:szCs w:val="32"/>
        </w:rPr>
        <w:lastRenderedPageBreak/>
        <w:t>人员之间的交流，从而更有效地改进了教学方法，切实提高了教学质量。</w:t>
      </w:r>
    </w:p>
    <w:p w:rsidR="003D2032" w:rsidRDefault="007A301F">
      <w:pPr>
        <w:spacing w:line="600" w:lineRule="exact"/>
        <w:rPr>
          <w:rFonts w:ascii="仿宋_GB2312" w:eastAsia="仿宋_GB2312"/>
          <w:b/>
          <w:sz w:val="32"/>
          <w:szCs w:val="32"/>
        </w:rPr>
      </w:pPr>
      <w:r>
        <w:rPr>
          <w:rFonts w:ascii="仿宋_GB2312" w:eastAsia="仿宋_GB2312" w:hint="eastAsia"/>
          <w:b/>
          <w:sz w:val="32"/>
          <w:szCs w:val="32"/>
        </w:rPr>
        <w:t xml:space="preserve">    2.督导相辅，以督促导</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设有独立的教学质量监督部门，即教学质量监督办公室，负责督导工作。“督”着重于促进教学秩序的有序进行，对理论课、实践课、考试与考察进行检查与巡查，跟踪记录、及时反馈给教务处及各分院。“导”着重于对教学品质的提升，将导文化、导理念、导经验做为工作的重点，不断累积、传递校园正能量。</w:t>
      </w:r>
    </w:p>
    <w:p w:rsidR="003D2032" w:rsidRDefault="007A301F">
      <w:pPr>
        <w:spacing w:line="600" w:lineRule="exact"/>
        <w:ind w:firstLineChars="196" w:firstLine="630"/>
        <w:rPr>
          <w:rFonts w:ascii="仿宋_GB2312" w:eastAsia="仿宋_GB2312"/>
          <w:b/>
          <w:sz w:val="32"/>
          <w:szCs w:val="32"/>
        </w:rPr>
      </w:pPr>
      <w:r>
        <w:rPr>
          <w:rFonts w:ascii="仿宋_GB2312" w:eastAsia="仿宋_GB2312" w:hint="eastAsia"/>
          <w:b/>
          <w:sz w:val="32"/>
          <w:szCs w:val="32"/>
        </w:rPr>
        <w:t>3.建立二级督导听课制度</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制定《二级督导听课制度实施办法》，各教学单位负责人、专业带头人、教研室主任等全员参与听课，听课比例覆盖到学年任课教师人数近100%。学院鼓励教师互听互学，向优秀教师学习。学院学工处按照巡课制度，监督学生出勤及教师到岗情况。通过二级督导与评价办法，对于完善教学管理模式、统一教学思想、稳定教学秩序和保证教学质量发挥了重要作用。</w:t>
      </w:r>
    </w:p>
    <w:p w:rsidR="003D2032" w:rsidRDefault="007A301F">
      <w:pPr>
        <w:spacing w:line="600" w:lineRule="exact"/>
        <w:ind w:firstLineChars="200" w:firstLine="643"/>
        <w:rPr>
          <w:rFonts w:ascii="仿宋_GB2312" w:eastAsia="仿宋_GB2312"/>
          <w:b/>
          <w:sz w:val="32"/>
          <w:szCs w:val="32"/>
        </w:rPr>
      </w:pPr>
      <w:r>
        <w:rPr>
          <w:rFonts w:ascii="仿宋_GB2312" w:eastAsia="仿宋_GB2312" w:hint="eastAsia"/>
          <w:b/>
          <w:sz w:val="32"/>
          <w:szCs w:val="32"/>
        </w:rPr>
        <w:t>4.坚持课堂教学质量评价及学生座谈会制度</w:t>
      </w:r>
      <w:bookmarkStart w:id="2" w:name="_Toc318832428"/>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w:t>
      </w:r>
      <w:bookmarkEnd w:id="2"/>
      <w:r>
        <w:rPr>
          <w:rFonts w:ascii="仿宋_GB2312" w:eastAsia="仿宋_GB2312" w:hint="eastAsia"/>
          <w:sz w:val="32"/>
          <w:szCs w:val="32"/>
        </w:rPr>
        <w:t>5年，学院继续开展对教师课堂教学质量测评工作，实施网上评教，并将测评结果、学生评价反应比较突出的问题及时反馈给任课教师和所在学院。各分院每学年召开两次学生座谈会，及时掌握教师课堂教学情况，发现教师在教学中存在的问题，了解学生的教学需求，促进教师更有针对性的改进教学，提高本科课堂教学质量。</w:t>
      </w:r>
    </w:p>
    <w:p w:rsidR="003D2032" w:rsidRDefault="007A301F">
      <w:pPr>
        <w:spacing w:line="600" w:lineRule="exact"/>
        <w:ind w:firstLineChars="200" w:firstLine="640"/>
        <w:rPr>
          <w:rFonts w:ascii="黑体" w:eastAsia="黑体"/>
          <w:sz w:val="32"/>
          <w:szCs w:val="32"/>
        </w:rPr>
      </w:pPr>
      <w:r>
        <w:rPr>
          <w:rFonts w:ascii="黑体" w:eastAsia="黑体" w:hint="eastAsia"/>
          <w:sz w:val="32"/>
          <w:szCs w:val="32"/>
        </w:rPr>
        <w:t>五、学生学习效果</w:t>
      </w: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lastRenderedPageBreak/>
        <w:t>（一）学位授予情况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学院2015届本科学生2127名，本科毕业生2110人，毕业率为99.2%，学位授予率为94.87%。学生学习效果良好，对学院总体情况满意度较高。</w:t>
      </w:r>
    </w:p>
    <w:p w:rsidR="003D2032" w:rsidRPr="006000E0" w:rsidRDefault="007A301F" w:rsidP="006000E0">
      <w:pPr>
        <w:spacing w:line="600" w:lineRule="exact"/>
        <w:ind w:firstLineChars="200" w:firstLine="643"/>
        <w:rPr>
          <w:rFonts w:ascii="楷体_GB2312" w:eastAsia="楷体_GB2312" w:hAnsi="楷体" w:cs="楷体"/>
          <w:b/>
          <w:sz w:val="32"/>
          <w:szCs w:val="32"/>
        </w:rPr>
      </w:pPr>
      <w:r w:rsidRPr="006000E0">
        <w:rPr>
          <w:rFonts w:ascii="楷体_GB2312" w:eastAsia="楷体_GB2312" w:hAnsi="楷体" w:cs="楷体" w:hint="eastAsia"/>
          <w:b/>
          <w:sz w:val="32"/>
          <w:szCs w:val="32"/>
        </w:rPr>
        <w:t>（二）专业证书考取情况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 xml:space="preserve">学院始终注重学生实践动手能力和专业技能方面的培养。根据不同专业学生需求，积极组织各类执业资格考试，从而大大增强了毕业生的就业竞争力。做好了外语四、六级，英、日、俄语专业四、八级考试，计算机省二级考试，普通话水平测试，会计从业资格证考试等。我院是吉林省导游员资格考试规模最大的考点，在全省各高校旅游管理专业学生中，通过率遥遥领先。 </w:t>
      </w:r>
    </w:p>
    <w:p w:rsidR="003D2032" w:rsidRDefault="007A301F">
      <w:pPr>
        <w:spacing w:line="600" w:lineRule="exact"/>
        <w:jc w:val="center"/>
        <w:rPr>
          <w:rFonts w:ascii="仿宋_GB2312" w:eastAsia="仿宋_GB2312"/>
          <w:sz w:val="28"/>
          <w:szCs w:val="28"/>
        </w:rPr>
      </w:pPr>
      <w:r>
        <w:rPr>
          <w:rFonts w:ascii="仿宋_GB2312" w:eastAsia="仿宋_GB2312" w:hint="eastAsia"/>
          <w:sz w:val="28"/>
          <w:szCs w:val="28"/>
        </w:rPr>
        <w:t>表3.  2015年度应届本科生毕业情况</w:t>
      </w:r>
    </w:p>
    <w:tbl>
      <w:tblPr>
        <w:tblW w:w="935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1233"/>
        <w:gridCol w:w="1176"/>
        <w:gridCol w:w="1209"/>
        <w:gridCol w:w="1411"/>
        <w:gridCol w:w="1326"/>
        <w:gridCol w:w="1411"/>
      </w:tblGrid>
      <w:tr w:rsidR="003D2032">
        <w:tc>
          <w:tcPr>
            <w:tcW w:w="1592"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2015届本科生人数</w:t>
            </w:r>
          </w:p>
        </w:tc>
        <w:tc>
          <w:tcPr>
            <w:tcW w:w="1233"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本科生毕业人数</w:t>
            </w:r>
          </w:p>
        </w:tc>
        <w:tc>
          <w:tcPr>
            <w:tcW w:w="1176"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毕业率</w:t>
            </w:r>
          </w:p>
        </w:tc>
        <w:tc>
          <w:tcPr>
            <w:tcW w:w="1209"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获学位人数</w:t>
            </w:r>
          </w:p>
        </w:tc>
        <w:tc>
          <w:tcPr>
            <w:tcW w:w="1411"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学位授予率</w:t>
            </w:r>
          </w:p>
        </w:tc>
        <w:tc>
          <w:tcPr>
            <w:tcW w:w="1326"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初次就业人数</w:t>
            </w:r>
          </w:p>
        </w:tc>
        <w:tc>
          <w:tcPr>
            <w:tcW w:w="1411"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初次就业率</w:t>
            </w:r>
          </w:p>
        </w:tc>
      </w:tr>
      <w:tr w:rsidR="003D2032">
        <w:trPr>
          <w:trHeight w:val="544"/>
        </w:trPr>
        <w:tc>
          <w:tcPr>
            <w:tcW w:w="1592"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2127</w:t>
            </w:r>
          </w:p>
        </w:tc>
        <w:tc>
          <w:tcPr>
            <w:tcW w:w="1233"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2110</w:t>
            </w:r>
          </w:p>
        </w:tc>
        <w:tc>
          <w:tcPr>
            <w:tcW w:w="1176"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99.2%</w:t>
            </w:r>
          </w:p>
        </w:tc>
        <w:tc>
          <w:tcPr>
            <w:tcW w:w="1209"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2023</w:t>
            </w:r>
          </w:p>
        </w:tc>
        <w:tc>
          <w:tcPr>
            <w:tcW w:w="1411"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95.11%</w:t>
            </w:r>
          </w:p>
        </w:tc>
        <w:tc>
          <w:tcPr>
            <w:tcW w:w="1326"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1692</w:t>
            </w:r>
          </w:p>
        </w:tc>
        <w:tc>
          <w:tcPr>
            <w:tcW w:w="1411" w:type="dxa"/>
            <w:vAlign w:val="center"/>
          </w:tcPr>
          <w:p w:rsidR="003D2032" w:rsidRDefault="007A301F">
            <w:pPr>
              <w:spacing w:line="600" w:lineRule="exact"/>
              <w:jc w:val="center"/>
              <w:rPr>
                <w:rFonts w:ascii="仿宋_GB2312" w:eastAsia="仿宋_GB2312"/>
                <w:sz w:val="32"/>
                <w:szCs w:val="32"/>
              </w:rPr>
            </w:pPr>
            <w:r>
              <w:rPr>
                <w:rFonts w:ascii="仿宋_GB2312" w:eastAsia="仿宋_GB2312" w:hint="eastAsia"/>
                <w:sz w:val="32"/>
                <w:szCs w:val="32"/>
              </w:rPr>
              <w:t>79.56%</w:t>
            </w:r>
          </w:p>
        </w:tc>
      </w:tr>
    </w:tbl>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（三）学生获奖情况</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我院旅游管理专业集群被确定为吉林省首批转型试点，根据应用型人才培养要求，学院加大实践教学比重，并鼓励学生积极参加各级各类学科竞赛，效果较好。2015年度，学生获得省级以上各类竞赛奖励人数为56人，在“第七届神州视景杯全国高等院校服务技能大赛”、“全国高校俄语大赛演讲单项”等国际级赛事上，我院学生分别斩获二、三等奖。</w:t>
      </w: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lastRenderedPageBreak/>
        <w:t>（四）毕业生去向</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2015年，我院毕业生去向以在各类企业中就业为主，小部分为自主创业、考研及出国留学等几方面。应届本科生初次就业率为79.56%，较上年度提高8个百分点。</w:t>
      </w:r>
    </w:p>
    <w:p w:rsidR="003D2032" w:rsidRDefault="007A301F">
      <w:pPr>
        <w:spacing w:line="600" w:lineRule="exact"/>
        <w:ind w:firstLineChars="200" w:firstLine="643"/>
        <w:rPr>
          <w:rFonts w:ascii="仿宋_GB2312" w:eastAsia="仿宋_GB2312"/>
          <w:b/>
          <w:sz w:val="32"/>
          <w:szCs w:val="32"/>
        </w:rPr>
      </w:pPr>
      <w:r>
        <w:rPr>
          <w:rFonts w:ascii="仿宋_GB2312" w:eastAsia="仿宋_GB2312" w:hint="eastAsia"/>
          <w:b/>
          <w:sz w:val="32"/>
          <w:szCs w:val="32"/>
        </w:rPr>
        <w:t>1.毕业生就业面向国际</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学院2015年毕业生主要从事领域有国内各类企事业单位、国内电视台、外资企业、国家和地方各省市旅游局及规划局，国内各高等、中等院校任教，国际、国内知名品牌酒店，国内各大城市旅行社行业，国内知名景区，会议展览公司、银行、会计事务所、设计公司等。</w:t>
      </w:r>
    </w:p>
    <w:p w:rsidR="003D2032" w:rsidRDefault="007A301F">
      <w:pPr>
        <w:spacing w:line="600" w:lineRule="exact"/>
        <w:ind w:firstLineChars="200" w:firstLine="643"/>
        <w:rPr>
          <w:rFonts w:ascii="仿宋_GB2312" w:eastAsia="仿宋_GB2312"/>
          <w:b/>
          <w:sz w:val="32"/>
          <w:szCs w:val="32"/>
        </w:rPr>
      </w:pPr>
      <w:r>
        <w:rPr>
          <w:rFonts w:ascii="仿宋_GB2312" w:eastAsia="仿宋_GB2312" w:hint="eastAsia"/>
          <w:b/>
          <w:sz w:val="32"/>
          <w:szCs w:val="32"/>
        </w:rPr>
        <w:t>2.毕业生积极自主创业</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很多毕业生创办了自己的企业，如长春市极昌旅行社分社、长春市海航商务旅行社分社、吉林省天马国际商务旅行社分社、长春市天翔国际旅行社、恒信欣居地产经纪有限公司等，在校内，我院组织团队，参加了多次创业大赛，举办了多场创业讲座。</w:t>
      </w:r>
    </w:p>
    <w:p w:rsidR="003D2032" w:rsidRDefault="007A301F">
      <w:pPr>
        <w:spacing w:line="600" w:lineRule="exact"/>
        <w:ind w:firstLineChars="200" w:firstLine="643"/>
        <w:rPr>
          <w:rFonts w:ascii="仿宋_GB2312" w:eastAsia="仿宋_GB2312"/>
          <w:b/>
          <w:sz w:val="32"/>
          <w:szCs w:val="32"/>
        </w:rPr>
      </w:pPr>
      <w:r>
        <w:rPr>
          <w:rFonts w:ascii="仿宋_GB2312" w:eastAsia="仿宋_GB2312" w:hint="eastAsia"/>
          <w:b/>
          <w:sz w:val="32"/>
          <w:szCs w:val="32"/>
        </w:rPr>
        <w:t>3.部分毕业生考研、出国留学或工作</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学院会计学、建筑学专业毕业生考研较多，外语专业一名同学考取了吉林大学研究生，另外部分同学考取了吉林建筑大学、长春工业大学、燕山大学、沈阳工业大学、西南林业大学、河北工程大学等高校。</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还有部分毕业生选择出国留学，如留学于悉尼大学、澳门城市大学、美国拉文大学、早稻田EDU日本语学校、</w:t>
      </w:r>
      <w:proofErr w:type="spellStart"/>
      <w:r>
        <w:rPr>
          <w:rFonts w:ascii="仿宋_GB2312" w:eastAsia="仿宋_GB2312" w:hint="eastAsia"/>
          <w:sz w:val="32"/>
          <w:szCs w:val="32"/>
        </w:rPr>
        <w:t>Monash</w:t>
      </w:r>
      <w:proofErr w:type="spellEnd"/>
      <w:r>
        <w:rPr>
          <w:rFonts w:ascii="仿宋_GB2312" w:eastAsia="仿宋_GB2312" w:hint="eastAsia"/>
          <w:sz w:val="32"/>
          <w:szCs w:val="32"/>
        </w:rPr>
        <w:t xml:space="preserve"> University、Griffith University、瑞士酒店管理学院等。旅游</w:t>
      </w:r>
      <w:r>
        <w:rPr>
          <w:rFonts w:ascii="仿宋_GB2312" w:eastAsia="仿宋_GB2312" w:hint="eastAsia"/>
          <w:sz w:val="32"/>
          <w:szCs w:val="32"/>
        </w:rPr>
        <w:lastRenderedPageBreak/>
        <w:t>管理学院的部分同学则在国外工作，如美国希尔顿大酒店、香格里拉盛贸大饭店、</w:t>
      </w:r>
      <w:proofErr w:type="spellStart"/>
      <w:r>
        <w:rPr>
          <w:rFonts w:ascii="仿宋_GB2312" w:eastAsia="仿宋_GB2312" w:hint="eastAsia"/>
          <w:sz w:val="32"/>
          <w:szCs w:val="32"/>
        </w:rPr>
        <w:t>Sonesta</w:t>
      </w:r>
      <w:proofErr w:type="spellEnd"/>
      <w:r>
        <w:rPr>
          <w:rFonts w:ascii="仿宋_GB2312" w:eastAsia="仿宋_GB2312" w:hint="eastAsia"/>
          <w:sz w:val="32"/>
          <w:szCs w:val="32"/>
        </w:rPr>
        <w:t xml:space="preserve"> Resort、</w:t>
      </w:r>
      <w:proofErr w:type="spellStart"/>
      <w:r>
        <w:rPr>
          <w:rFonts w:ascii="仿宋_GB2312" w:eastAsia="仿宋_GB2312" w:hint="eastAsia"/>
          <w:sz w:val="32"/>
          <w:szCs w:val="32"/>
        </w:rPr>
        <w:t>Sonesta</w:t>
      </w:r>
      <w:proofErr w:type="spellEnd"/>
      <w:r>
        <w:rPr>
          <w:rFonts w:ascii="仿宋_GB2312" w:eastAsia="仿宋_GB2312" w:hint="eastAsia"/>
          <w:sz w:val="32"/>
          <w:szCs w:val="32"/>
        </w:rPr>
        <w:t xml:space="preserve"> Hilton Head Island、Fume neighborhood Restaurant LLC、阿联酋阿布扎比皇宫酒店、迪拜朱美拉索菲特酒店等。</w:t>
      </w:r>
    </w:p>
    <w:p w:rsidR="003D2032" w:rsidRPr="006000E0" w:rsidRDefault="007A301F" w:rsidP="006000E0">
      <w:pPr>
        <w:spacing w:line="600" w:lineRule="exact"/>
        <w:ind w:firstLineChars="200" w:firstLine="643"/>
        <w:rPr>
          <w:rFonts w:ascii="楷体_GB2312" w:eastAsia="楷体_GB2312" w:hAnsi="楷体" w:cs="经典隶书简"/>
          <w:b/>
          <w:sz w:val="32"/>
          <w:szCs w:val="32"/>
        </w:rPr>
      </w:pPr>
      <w:r w:rsidRPr="006000E0">
        <w:rPr>
          <w:rFonts w:ascii="楷体_GB2312" w:eastAsia="楷体_GB2312" w:hAnsi="楷体" w:cs="经典隶书简" w:hint="eastAsia"/>
          <w:b/>
          <w:sz w:val="32"/>
          <w:szCs w:val="32"/>
        </w:rPr>
        <w:t>（五）社会用人单位对毕业生评价</w:t>
      </w:r>
    </w:p>
    <w:p w:rsidR="003D2032" w:rsidRDefault="003F7C73">
      <w:pPr>
        <w:spacing w:line="600" w:lineRule="exact"/>
        <w:ind w:firstLineChars="200" w:firstLine="640"/>
        <w:rPr>
          <w:rFonts w:ascii="仿宋_GB2312" w:eastAsia="仿宋_GB2312"/>
          <w:sz w:val="32"/>
          <w:szCs w:val="32"/>
        </w:rPr>
      </w:pPr>
      <w:r>
        <w:rPr>
          <w:rFonts w:ascii="仿宋_GB2312" w:eastAsia="仿宋_GB2312" w:hint="eastAsia"/>
          <w:sz w:val="32"/>
          <w:szCs w:val="32"/>
        </w:rPr>
        <w:tab/>
        <w:t>2015</w:t>
      </w:r>
      <w:bookmarkStart w:id="3" w:name="_GoBack"/>
      <w:bookmarkEnd w:id="3"/>
      <w:r>
        <w:rPr>
          <w:rFonts w:ascii="仿宋_GB2312" w:eastAsia="仿宋_GB2312" w:hint="eastAsia"/>
          <w:sz w:val="32"/>
          <w:szCs w:val="32"/>
        </w:rPr>
        <w:t>年，</w:t>
      </w:r>
      <w:r w:rsidR="007A301F">
        <w:rPr>
          <w:rFonts w:ascii="仿宋_GB2312" w:eastAsia="仿宋_GB2312" w:hint="eastAsia"/>
          <w:sz w:val="32"/>
          <w:szCs w:val="32"/>
        </w:rPr>
        <w:t>我院加大了就业市场的开拓力度，与多个城市的人才市场和大中型企事业单位建立了实习就业基地。各家用人单位对我院毕业生评价较高，认为我院毕业生理论水平较为扎实，实际动手能力和操作能力较强，能够较好的适应用人单位的各种需求，特别是旅游管理、酒店管理、财务管理、物流管理、市场营销、平面设计、动画等专业已形成了供不应求的就业局面。</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2015年用人单位对我校毕业生总体评价满意度较高，91.2%的单位对毕业生比较满意。</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对毕业生的各项基本职业素质评价里，用人单位总体认为我校毕业生做事积极主动，责任感强，勇于创新，工作勤奋等方面比较突出。在对毕业生基本工作能力的评价中，各项能力的比较满意的程度分别为，专业基础能力（89.43%）、解决问题能力（78.36%）、人际沟通能力（88.72%）、团队协作能力（86.21%）、领导能力（75.49%）、计算机应用能力（80.92%）、外语能力（79.54%）。</w:t>
      </w:r>
    </w:p>
    <w:p w:rsidR="003D2032" w:rsidRDefault="007A301F">
      <w:pPr>
        <w:spacing w:line="600" w:lineRule="exact"/>
        <w:ind w:firstLineChars="200" w:firstLine="640"/>
        <w:rPr>
          <w:rFonts w:ascii="黑体" w:eastAsia="黑体"/>
          <w:sz w:val="32"/>
          <w:szCs w:val="32"/>
        </w:rPr>
      </w:pPr>
      <w:r>
        <w:rPr>
          <w:rFonts w:ascii="黑体" w:eastAsia="黑体" w:hint="eastAsia"/>
          <w:sz w:val="32"/>
          <w:szCs w:val="32"/>
        </w:rPr>
        <w:t>六、提升教育教学质量，走特色发展之路</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办学15年来，学院始终坚持服务地方经济建设事业发展，树立高质量应用型本科人才培养目标定位，强化内涵建设，深化教学改革，走内涵发展之路，办旅游特色院校。</w:t>
      </w:r>
    </w:p>
    <w:p w:rsidR="003D2032" w:rsidRPr="006000E0" w:rsidRDefault="007A301F">
      <w:pPr>
        <w:numPr>
          <w:ilvl w:val="0"/>
          <w:numId w:val="1"/>
        </w:numPr>
        <w:spacing w:line="600" w:lineRule="exact"/>
        <w:rPr>
          <w:rFonts w:ascii="楷体_GB2312" w:eastAsia="楷体_GB2312" w:hAnsi="楷体" w:cs="楷体"/>
          <w:b/>
          <w:sz w:val="32"/>
          <w:szCs w:val="32"/>
        </w:rPr>
      </w:pPr>
      <w:r w:rsidRPr="006000E0">
        <w:rPr>
          <w:rFonts w:ascii="楷体_GB2312" w:eastAsia="楷体_GB2312" w:hAnsi="楷体" w:cs="楷体" w:hint="eastAsia"/>
          <w:b/>
          <w:sz w:val="32"/>
          <w:szCs w:val="32"/>
        </w:rPr>
        <w:lastRenderedPageBreak/>
        <w:t>坚持“学院+行业”教学模式</w:t>
      </w:r>
    </w:p>
    <w:p w:rsidR="003D2032" w:rsidRDefault="007A301F">
      <w:pPr>
        <w:spacing w:line="600" w:lineRule="exact"/>
        <w:rPr>
          <w:rFonts w:ascii="仿宋_GB2312" w:eastAsia="仿宋_GB2312"/>
          <w:sz w:val="32"/>
          <w:szCs w:val="32"/>
        </w:rPr>
      </w:pPr>
      <w:r>
        <w:rPr>
          <w:rFonts w:ascii="仿宋_GB2312" w:eastAsia="仿宋_GB2312" w:hint="eastAsia"/>
          <w:sz w:val="32"/>
          <w:szCs w:val="32"/>
        </w:rPr>
        <w:t xml:space="preserve">    我院旅游管理专业是业内最早提出“学院+行业”大旅游教学模式的院校，办学15年来，逐步将“学院+行业”教学模式扩展到全院所有专业。学院始终坚持服务地方经济发展，与行业紧密互通，以社会对人才需求为导向，强化核心专业能力培养，系统制定人才培养方案，强化学生实践能力培养，加大实践教学比重。从师资队伍建设、实习实践制度建设、校内外实习教学条件建设等方面为应用型人才培养提供保障。</w:t>
      </w:r>
    </w:p>
    <w:p w:rsidR="003D2032" w:rsidRPr="006000E0" w:rsidRDefault="007A301F" w:rsidP="006000E0">
      <w:pPr>
        <w:spacing w:line="600" w:lineRule="exact"/>
        <w:ind w:firstLineChars="200" w:firstLine="643"/>
        <w:rPr>
          <w:rFonts w:ascii="楷体_GB2312" w:eastAsia="楷体_GB2312" w:hAnsi="楷体" w:cs="楷体"/>
          <w:b/>
          <w:sz w:val="32"/>
          <w:szCs w:val="32"/>
        </w:rPr>
      </w:pPr>
      <w:r w:rsidRPr="006000E0">
        <w:rPr>
          <w:rFonts w:ascii="楷体_GB2312" w:eastAsia="楷体_GB2312" w:hAnsi="楷体" w:cs="楷体" w:hint="eastAsia"/>
          <w:b/>
          <w:sz w:val="32"/>
          <w:szCs w:val="32"/>
        </w:rPr>
        <w:t>（二）构建“双师双能型”教师队伍</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为适应转型需要，学院组建形成了学术型教师、“双师双能型”教师、行业精英（企业经理人）共同组成的培养应用型人才的专业师资队伍。“双师双能型”师资培养采用“引进来、走出去”的办法，即引进行业精英进校授课，同时选派教学效果好的青年教师到企业参加顶岗培训，双管齐下，构建“双师双能型”师资队伍。</w:t>
      </w:r>
    </w:p>
    <w:p w:rsidR="003D2032" w:rsidRPr="006000E0" w:rsidRDefault="007A301F">
      <w:pPr>
        <w:spacing w:line="600" w:lineRule="exact"/>
        <w:ind w:left="640"/>
        <w:rPr>
          <w:rFonts w:ascii="楷体_GB2312" w:eastAsia="楷体_GB2312" w:hAnsi="楷体" w:cs="楷体"/>
          <w:b/>
          <w:sz w:val="32"/>
          <w:szCs w:val="32"/>
        </w:rPr>
      </w:pPr>
      <w:r w:rsidRPr="006000E0">
        <w:rPr>
          <w:rFonts w:ascii="楷体_GB2312" w:eastAsia="楷体_GB2312" w:hAnsi="楷体" w:cs="楷体" w:hint="eastAsia"/>
          <w:b/>
          <w:sz w:val="32"/>
          <w:szCs w:val="32"/>
        </w:rPr>
        <w:t>（三）多管齐下，提升学生实践动手能力</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由招生就业处、学工处、教学单位三方联合开发建立多家学生校外实习基地，同时部分专业尝试聘请行业从业人员在校内开设工作室，使学生可以在校内接受理论课教育的同时，全程参与行业项目，达到理论与实践双向促进的教学效果。学院重视学生“三创”教育，将创新创业教育有机融入专业教育，部分管理类专业指导教师成功将学生实践环节项目转化为省级创业大赛参赛项目。</w:t>
      </w:r>
    </w:p>
    <w:p w:rsidR="003D2032" w:rsidRDefault="007A301F">
      <w:pPr>
        <w:spacing w:line="600" w:lineRule="exact"/>
        <w:ind w:firstLineChars="200" w:firstLine="640"/>
        <w:rPr>
          <w:rFonts w:ascii="黑体" w:eastAsia="黑体"/>
          <w:sz w:val="32"/>
          <w:szCs w:val="32"/>
        </w:rPr>
      </w:pPr>
      <w:r>
        <w:rPr>
          <w:rFonts w:ascii="黑体" w:eastAsia="黑体" w:hint="eastAsia"/>
          <w:sz w:val="32"/>
          <w:szCs w:val="32"/>
        </w:rPr>
        <w:lastRenderedPageBreak/>
        <w:t>七、存在问题及解决措施</w:t>
      </w: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（一）校园文化建设有待加强</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高校的职责不仅在于教书，更在于育人。校风、教风、学风建设是校园文化建设的重点，更是办学需要累积、沉淀以及思考的问题。以加强学风建设为引领，激发教师和学生两个主体的内驱力，形成良好的教风学风，引导教师潜心教书育人，引导学生立志成才、刻苦学习；坚持以人为本，在强调制度刚性的同时，充分考虑师生实际需求，加强人文关怀，形成强大凝聚力。</w:t>
      </w:r>
    </w:p>
    <w:p w:rsidR="003D2032" w:rsidRPr="006000E0" w:rsidRDefault="007A301F" w:rsidP="006000E0">
      <w:pPr>
        <w:spacing w:line="600" w:lineRule="exact"/>
        <w:ind w:firstLineChars="200" w:firstLine="643"/>
        <w:rPr>
          <w:rFonts w:ascii="楷体_GB2312" w:eastAsia="楷体_GB2312" w:hAnsi="楷体" w:cs="楷体"/>
          <w:b/>
          <w:sz w:val="32"/>
          <w:szCs w:val="32"/>
        </w:rPr>
      </w:pPr>
      <w:r w:rsidRPr="006000E0">
        <w:rPr>
          <w:rFonts w:ascii="楷体_GB2312" w:eastAsia="楷体_GB2312" w:hAnsi="楷体" w:cs="楷体" w:hint="eastAsia"/>
          <w:b/>
          <w:sz w:val="32"/>
          <w:szCs w:val="32"/>
        </w:rPr>
        <w:t>（二）网络在线课程应用亟待开发</w:t>
      </w:r>
    </w:p>
    <w:p w:rsidR="003D2032" w:rsidRDefault="007A301F">
      <w:pPr>
        <w:spacing w:line="600" w:lineRule="exact"/>
        <w:ind w:firstLineChars="200" w:firstLine="640"/>
        <w:rPr>
          <w:rFonts w:ascii="仿宋_GB2312" w:eastAsia="仿宋_GB2312"/>
          <w:sz w:val="32"/>
          <w:szCs w:val="32"/>
        </w:rPr>
      </w:pPr>
      <w:r>
        <w:rPr>
          <w:rFonts w:ascii="仿宋_GB2312" w:eastAsia="仿宋_GB2312" w:hAnsi="仿宋" w:cs="仿宋" w:hint="eastAsia"/>
          <w:sz w:val="32"/>
          <w:szCs w:val="32"/>
        </w:rPr>
        <w:t>由于整体投入等多方面原因，网络在线课程的应用与开发进程缓慢。今后将有针对性地加大此方面的投入，多与兄弟院校进行沟通学习，开展网络在线课程的应用与开发工作。</w:t>
      </w:r>
    </w:p>
    <w:p w:rsidR="003D2032" w:rsidRPr="006000E0" w:rsidRDefault="007A301F" w:rsidP="006000E0">
      <w:pPr>
        <w:spacing w:line="600" w:lineRule="exact"/>
        <w:ind w:firstLineChars="196" w:firstLine="630"/>
        <w:rPr>
          <w:rFonts w:ascii="楷体_GB2312" w:eastAsia="楷体_GB2312" w:hAnsi="楷体" w:cs="楷体"/>
          <w:b/>
          <w:sz w:val="32"/>
          <w:szCs w:val="32"/>
        </w:rPr>
      </w:pPr>
      <w:r w:rsidRPr="006000E0">
        <w:rPr>
          <w:rFonts w:ascii="楷体_GB2312" w:eastAsia="楷体_GB2312" w:hAnsi="楷体" w:cs="楷体" w:hint="eastAsia"/>
          <w:b/>
          <w:sz w:val="32"/>
          <w:szCs w:val="32"/>
        </w:rPr>
        <w:t>（三）教师整体科研水平有待提高</w:t>
      </w:r>
    </w:p>
    <w:p w:rsidR="003D2032" w:rsidRDefault="007A301F">
      <w:pPr>
        <w:spacing w:line="600" w:lineRule="exact"/>
        <w:ind w:firstLineChars="200" w:firstLine="640"/>
        <w:rPr>
          <w:rFonts w:ascii="仿宋_GB2312" w:eastAsia="仿宋_GB2312"/>
          <w:sz w:val="32"/>
          <w:szCs w:val="32"/>
        </w:rPr>
      </w:pPr>
      <w:r>
        <w:rPr>
          <w:rFonts w:ascii="仿宋_GB2312" w:eastAsia="仿宋_GB2312" w:hint="eastAsia"/>
          <w:sz w:val="32"/>
          <w:szCs w:val="32"/>
        </w:rPr>
        <w:t>自有专任教师队伍相对年轻，教师队伍整体科研水平不高。学院将通过加大高职称、高学历教师引进力度、提高教科研奖励标准等方式，优化师资队伍结构，提升教师队伍整体科研水平。</w:t>
      </w:r>
    </w:p>
    <w:p w:rsidR="003D2032" w:rsidRDefault="003D2032">
      <w:pPr>
        <w:spacing w:line="600" w:lineRule="exact"/>
        <w:rPr>
          <w:rFonts w:ascii="仿宋_GB2312" w:eastAsia="仿宋_GB2312"/>
          <w:color w:val="0000FF"/>
          <w:sz w:val="32"/>
          <w:szCs w:val="32"/>
        </w:rPr>
      </w:pPr>
    </w:p>
    <w:p w:rsidR="003D2032" w:rsidRDefault="003D2032">
      <w:pPr>
        <w:spacing w:line="600" w:lineRule="exact"/>
        <w:rPr>
          <w:rFonts w:ascii="仿宋_GB2312" w:eastAsia="仿宋_GB2312"/>
          <w:color w:val="0000FF"/>
          <w:sz w:val="32"/>
          <w:szCs w:val="32"/>
        </w:rPr>
      </w:pPr>
    </w:p>
    <w:p w:rsidR="003D2032" w:rsidRDefault="007A301F">
      <w:pPr>
        <w:spacing w:line="600" w:lineRule="exact"/>
        <w:jc w:val="right"/>
        <w:rPr>
          <w:rFonts w:ascii="仿宋_GB2312" w:eastAsia="仿宋_GB2312"/>
          <w:sz w:val="32"/>
          <w:szCs w:val="32"/>
        </w:rPr>
      </w:pPr>
      <w:r>
        <w:rPr>
          <w:rFonts w:ascii="仿宋_GB2312" w:eastAsia="仿宋_GB2312" w:hint="eastAsia"/>
          <w:color w:val="0000FF"/>
          <w:sz w:val="32"/>
          <w:szCs w:val="32"/>
        </w:rPr>
        <w:t xml:space="preserve">                           </w:t>
      </w:r>
      <w:r>
        <w:rPr>
          <w:rFonts w:ascii="仿宋_GB2312" w:eastAsia="仿宋_GB2312" w:hint="eastAsia"/>
          <w:sz w:val="32"/>
          <w:szCs w:val="32"/>
        </w:rPr>
        <w:t xml:space="preserve">   长春大学旅游学院</w:t>
      </w:r>
    </w:p>
    <w:p w:rsidR="003D2032" w:rsidRDefault="007A301F">
      <w:pPr>
        <w:spacing w:line="600" w:lineRule="exact"/>
        <w:ind w:right="320"/>
        <w:jc w:val="right"/>
        <w:rPr>
          <w:rFonts w:ascii="隶书" w:eastAsia="隶书" w:hAnsi="宋体"/>
          <w:b/>
          <w:sz w:val="44"/>
          <w:szCs w:val="44"/>
        </w:rPr>
      </w:pPr>
      <w:r>
        <w:rPr>
          <w:rFonts w:ascii="仿宋_GB2312" w:eastAsia="仿宋_GB2312" w:hint="eastAsia"/>
          <w:sz w:val="32"/>
          <w:szCs w:val="32"/>
        </w:rPr>
        <w:t>2016年11月</w:t>
      </w:r>
    </w:p>
    <w:sectPr w:rsidR="003D2032" w:rsidSect="00B47944">
      <w:footerReference w:type="default" r:id="rId12"/>
      <w:pgSz w:w="11906" w:h="16838"/>
      <w:pgMar w:top="1134" w:right="1134" w:bottom="1134" w:left="1701"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7F6" w:rsidRDefault="00BE17F6" w:rsidP="00B47944">
      <w:r>
        <w:separator/>
      </w:r>
    </w:p>
  </w:endnote>
  <w:endnote w:type="continuationSeparator" w:id="0">
    <w:p w:rsidR="00BE17F6" w:rsidRDefault="00BE17F6" w:rsidP="00B4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微软简隶书">
    <w:altName w:val="方正舒体"/>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仿宋">
    <w:altName w:val="Arial Unicode MS"/>
    <w:charset w:val="86"/>
    <w:family w:val="roman"/>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微软雅黑"/>
    <w:charset w:val="86"/>
    <w:family w:val="auto"/>
    <w:pitch w:val="default"/>
    <w:sig w:usb0="00000000"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华文仿宋">
    <w:panose1 w:val="02010600040101010101"/>
    <w:charset w:val="86"/>
    <w:family w:val="auto"/>
    <w:pitch w:val="variable"/>
    <w:sig w:usb0="00000287" w:usb1="080F0000" w:usb2="00000010" w:usb3="00000000" w:csb0="0004009F" w:csb1="00000000"/>
  </w:font>
  <w:font w:name="经典隶书简">
    <w:charset w:val="86"/>
    <w:family w:val="modern"/>
    <w:pitch w:val="fixed"/>
    <w:sig w:usb0="A1002AEF" w:usb1="F9DF7CFB" w:usb2="0000001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92653"/>
      <w:docPartObj>
        <w:docPartGallery w:val="Page Numbers (Bottom of Page)"/>
        <w:docPartUnique/>
      </w:docPartObj>
    </w:sdtPr>
    <w:sdtContent>
      <w:p w:rsidR="00B47944" w:rsidRDefault="00B47944">
        <w:pPr>
          <w:pStyle w:val="a4"/>
          <w:jc w:val="center"/>
        </w:pPr>
        <w:r>
          <w:fldChar w:fldCharType="begin"/>
        </w:r>
        <w:r>
          <w:instrText>PAGE   \* MERGEFORMAT</w:instrText>
        </w:r>
        <w:r>
          <w:fldChar w:fldCharType="separate"/>
        </w:r>
        <w:r w:rsidR="003F7C73" w:rsidRPr="003F7C73">
          <w:rPr>
            <w:noProof/>
            <w:lang w:val="zh-CN"/>
          </w:rPr>
          <w:t>16</w:t>
        </w:r>
        <w:r>
          <w:fldChar w:fldCharType="end"/>
        </w:r>
      </w:p>
    </w:sdtContent>
  </w:sdt>
  <w:p w:rsidR="00B47944" w:rsidRDefault="00B4794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7F6" w:rsidRDefault="00BE17F6" w:rsidP="00B47944">
      <w:r>
        <w:separator/>
      </w:r>
    </w:p>
  </w:footnote>
  <w:footnote w:type="continuationSeparator" w:id="0">
    <w:p w:rsidR="00BE17F6" w:rsidRDefault="00BE17F6" w:rsidP="00B479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7FD5"/>
    <w:multiLevelType w:val="multilevel"/>
    <w:tmpl w:val="57437FD5"/>
    <w:lvl w:ilvl="0">
      <w:start w:val="1"/>
      <w:numFmt w:val="japaneseCounting"/>
      <w:lvlText w:val="（%1）"/>
      <w:lvlJc w:val="left"/>
      <w:pPr>
        <w:tabs>
          <w:tab w:val="left" w:pos="1720"/>
        </w:tabs>
        <w:ind w:left="1720" w:hanging="108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251F37"/>
    <w:rsid w:val="00024E60"/>
    <w:rsid w:val="0004106C"/>
    <w:rsid w:val="00042EB5"/>
    <w:rsid w:val="000565CD"/>
    <w:rsid w:val="0007507A"/>
    <w:rsid w:val="000B6F32"/>
    <w:rsid w:val="00111BF0"/>
    <w:rsid w:val="0013001A"/>
    <w:rsid w:val="0019757A"/>
    <w:rsid w:val="00221E3E"/>
    <w:rsid w:val="00227EAF"/>
    <w:rsid w:val="00245474"/>
    <w:rsid w:val="00247CBA"/>
    <w:rsid w:val="00251F37"/>
    <w:rsid w:val="002A73B8"/>
    <w:rsid w:val="002D6C38"/>
    <w:rsid w:val="0030236D"/>
    <w:rsid w:val="003D2032"/>
    <w:rsid w:val="003F7C73"/>
    <w:rsid w:val="00414F94"/>
    <w:rsid w:val="00476352"/>
    <w:rsid w:val="004827D4"/>
    <w:rsid w:val="0048623E"/>
    <w:rsid w:val="00497BC3"/>
    <w:rsid w:val="005103EE"/>
    <w:rsid w:val="00562459"/>
    <w:rsid w:val="00581779"/>
    <w:rsid w:val="0059055D"/>
    <w:rsid w:val="005A4593"/>
    <w:rsid w:val="005A5408"/>
    <w:rsid w:val="006000E0"/>
    <w:rsid w:val="00646164"/>
    <w:rsid w:val="006F72A1"/>
    <w:rsid w:val="007108F7"/>
    <w:rsid w:val="00720621"/>
    <w:rsid w:val="00772CC8"/>
    <w:rsid w:val="00776DB1"/>
    <w:rsid w:val="007A0004"/>
    <w:rsid w:val="007A301F"/>
    <w:rsid w:val="007E5FF0"/>
    <w:rsid w:val="00833F7D"/>
    <w:rsid w:val="008D05C6"/>
    <w:rsid w:val="008D5A9D"/>
    <w:rsid w:val="0097141C"/>
    <w:rsid w:val="00974FD7"/>
    <w:rsid w:val="009E6E1C"/>
    <w:rsid w:val="00A32C90"/>
    <w:rsid w:val="00A91C61"/>
    <w:rsid w:val="00AA7C22"/>
    <w:rsid w:val="00AD662A"/>
    <w:rsid w:val="00B23FE0"/>
    <w:rsid w:val="00B4607D"/>
    <w:rsid w:val="00B47944"/>
    <w:rsid w:val="00B505BD"/>
    <w:rsid w:val="00B74B1A"/>
    <w:rsid w:val="00B810E8"/>
    <w:rsid w:val="00BA29F3"/>
    <w:rsid w:val="00BE17F6"/>
    <w:rsid w:val="00BE6432"/>
    <w:rsid w:val="00C27CAF"/>
    <w:rsid w:val="00C60D66"/>
    <w:rsid w:val="00CA2F70"/>
    <w:rsid w:val="00D13162"/>
    <w:rsid w:val="00D5277D"/>
    <w:rsid w:val="00D61657"/>
    <w:rsid w:val="00D640E8"/>
    <w:rsid w:val="00DB7FA1"/>
    <w:rsid w:val="00F2651D"/>
    <w:rsid w:val="00FD5311"/>
    <w:rsid w:val="04102B77"/>
    <w:rsid w:val="0A2876A7"/>
    <w:rsid w:val="0A352C65"/>
    <w:rsid w:val="0F336BBA"/>
    <w:rsid w:val="0F512918"/>
    <w:rsid w:val="10DF2DEE"/>
    <w:rsid w:val="1AB341A5"/>
    <w:rsid w:val="20C955A3"/>
    <w:rsid w:val="280B52F8"/>
    <w:rsid w:val="2B79434A"/>
    <w:rsid w:val="326A3D41"/>
    <w:rsid w:val="3579305F"/>
    <w:rsid w:val="3AAA0723"/>
    <w:rsid w:val="3AC97BF9"/>
    <w:rsid w:val="45D11C8F"/>
    <w:rsid w:val="4A99477D"/>
    <w:rsid w:val="4B5B214B"/>
    <w:rsid w:val="52870E06"/>
    <w:rsid w:val="55350CE1"/>
    <w:rsid w:val="59136DEE"/>
    <w:rsid w:val="5A9D2BAE"/>
    <w:rsid w:val="5C2665B9"/>
    <w:rsid w:val="5D9E6ECD"/>
    <w:rsid w:val="636F0D95"/>
    <w:rsid w:val="73E61F68"/>
    <w:rsid w:val="78185595"/>
    <w:rsid w:val="7A526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semiHidden="0"/>
    <w:lsdException w:name="caption" w:locked="1" w:uiPriority="0" w:qFormat="1"/>
    <w:lsdException w:name="page number" w:semiHidden="0"/>
    <w:lsdException w:name="Title" w:locked="1" w:semiHidden="0" w:uiPriority="0" w:unhideWhenUsed="0" w:qFormat="1"/>
    <w:lsdException w:name="Default Paragraph Font"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Normal Table" w:semiHidden="0" w:qFormat="1"/>
    <w:lsdException w:name="Balloon Text" w:unhideWhenUsed="0"/>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03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3D2032"/>
    <w:rPr>
      <w:sz w:val="18"/>
      <w:szCs w:val="18"/>
    </w:rPr>
  </w:style>
  <w:style w:type="paragraph" w:styleId="a4">
    <w:name w:val="footer"/>
    <w:basedOn w:val="a"/>
    <w:link w:val="Char0"/>
    <w:uiPriority w:val="99"/>
    <w:unhideWhenUsed/>
    <w:rsid w:val="003D2032"/>
    <w:pPr>
      <w:tabs>
        <w:tab w:val="center" w:pos="4153"/>
        <w:tab w:val="right" w:pos="8306"/>
      </w:tabs>
      <w:snapToGrid w:val="0"/>
      <w:jc w:val="left"/>
    </w:pPr>
    <w:rPr>
      <w:kern w:val="0"/>
      <w:sz w:val="18"/>
      <w:szCs w:val="18"/>
    </w:rPr>
  </w:style>
  <w:style w:type="character" w:styleId="a5">
    <w:name w:val="page number"/>
    <w:basedOn w:val="a0"/>
    <w:uiPriority w:val="99"/>
    <w:unhideWhenUsed/>
    <w:rsid w:val="003D2032"/>
  </w:style>
  <w:style w:type="character" w:customStyle="1" w:styleId="Char">
    <w:name w:val="批注框文本 Char"/>
    <w:basedOn w:val="a0"/>
    <w:link w:val="a3"/>
    <w:uiPriority w:val="99"/>
    <w:semiHidden/>
    <w:locked/>
    <w:rsid w:val="003D2032"/>
    <w:rPr>
      <w:rFonts w:cs="Times New Roman"/>
      <w:sz w:val="18"/>
      <w:szCs w:val="18"/>
    </w:rPr>
  </w:style>
  <w:style w:type="paragraph" w:styleId="a6">
    <w:name w:val="List Paragraph"/>
    <w:basedOn w:val="a"/>
    <w:uiPriority w:val="99"/>
    <w:qFormat/>
    <w:rsid w:val="0019757A"/>
    <w:pPr>
      <w:ind w:firstLineChars="200" w:firstLine="420"/>
    </w:pPr>
  </w:style>
  <w:style w:type="paragraph" w:styleId="a7">
    <w:name w:val="Normal (Web)"/>
    <w:basedOn w:val="a"/>
    <w:rsid w:val="005A4593"/>
    <w:pPr>
      <w:widowControl/>
      <w:spacing w:before="100" w:beforeAutospacing="1" w:after="100" w:afterAutospacing="1"/>
      <w:jc w:val="left"/>
    </w:pPr>
    <w:rPr>
      <w:rFonts w:ascii="宋体" w:hAnsi="宋体" w:cs="宋体"/>
      <w:kern w:val="0"/>
      <w:sz w:val="24"/>
      <w:szCs w:val="24"/>
    </w:rPr>
  </w:style>
  <w:style w:type="paragraph" w:styleId="a8">
    <w:name w:val="header"/>
    <w:basedOn w:val="a"/>
    <w:link w:val="Char1"/>
    <w:uiPriority w:val="99"/>
    <w:unhideWhenUsed/>
    <w:rsid w:val="00B4794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rsid w:val="00B47944"/>
    <w:rPr>
      <w:kern w:val="2"/>
      <w:sz w:val="18"/>
      <w:szCs w:val="18"/>
    </w:rPr>
  </w:style>
  <w:style w:type="character" w:customStyle="1" w:styleId="Char0">
    <w:name w:val="页脚 Char"/>
    <w:basedOn w:val="a0"/>
    <w:link w:val="a4"/>
    <w:uiPriority w:val="99"/>
    <w:rsid w:val="00B4794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图一：长春大学旅游学院职称机构图</a:t>
            </a:r>
          </a:p>
        </c:rich>
      </c:tx>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[工作簿1]Sheet1!$A$1:$A$3</c:f>
              <c:strCache>
                <c:ptCount val="3"/>
                <c:pt idx="0">
                  <c:v>正高级</c:v>
                </c:pt>
                <c:pt idx="1">
                  <c:v>副高级</c:v>
                </c:pt>
                <c:pt idx="2">
                  <c:v>其他</c:v>
                </c:pt>
              </c:strCache>
            </c:strRef>
          </c:cat>
          <c:val>
            <c:numRef>
              <c:f>[工作簿1]Sheet1!$B$1:$B$3</c:f>
              <c:numCache>
                <c:formatCode>0.00%</c:formatCode>
                <c:ptCount val="3"/>
                <c:pt idx="0">
                  <c:v>0.10700000000000011</c:v>
                </c:pt>
                <c:pt idx="1">
                  <c:v>0.29100000000000031</c:v>
                </c:pt>
                <c:pt idx="2">
                  <c:v>0.60200000000000065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noFill/>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图二：长春大学旅游学院教授任课比重</a:t>
            </a:r>
          </a:p>
        </c:rich>
      </c:tx>
      <c:overlay val="0"/>
      <c:spPr>
        <a:noFill/>
        <a:ln>
          <a:noFill/>
        </a:ln>
        <a:effectLst/>
      </c:spPr>
    </c:title>
    <c:autoTitleDeleted val="0"/>
    <c:plotArea>
      <c:layout/>
      <c:pieChart>
        <c:varyColors val="1"/>
        <c:ser>
          <c:idx val="0"/>
          <c:order val="0"/>
          <c:spPr>
            <a:ln w="22225"/>
          </c:spPr>
          <c:dPt>
            <c:idx val="0"/>
            <c:bubble3D val="0"/>
            <c:spPr>
              <a:solidFill>
                <a:schemeClr val="accent3">
                  <a:lumMod val="60000"/>
                  <a:lumOff val="40000"/>
                </a:schemeClr>
              </a:solidFill>
              <a:ln w="22225">
                <a:solidFill>
                  <a:schemeClr val="bg1"/>
                </a:solidFill>
              </a:ln>
            </c:spPr>
          </c:dPt>
          <c:dPt>
            <c:idx val="1"/>
            <c:bubble3D val="0"/>
            <c:spPr>
              <a:solidFill>
                <a:srgbClr val="CC66FF"/>
              </a:solidFill>
              <a:ln w="22225">
                <a:solidFill>
                  <a:prstClr val="white"/>
                </a:solidFill>
              </a:ln>
            </c:spPr>
          </c:dPt>
          <c:dLbls>
            <c:dLbl>
              <c:idx val="0"/>
              <c:layout>
                <c:manualLayout>
                  <c:x val="-9.775762254895988E-2"/>
                  <c:y val="0.16113039378611946"/>
                </c:manualLayout>
              </c:layout>
              <c:dLblPos val="bestFit"/>
              <c:showLegendKey val="0"/>
              <c:showVal val="1"/>
              <c:showCatName val="1"/>
              <c:showSerName val="0"/>
              <c:showPercent val="0"/>
              <c:showBubbleSize val="0"/>
            </c:dLbl>
            <c:dLbl>
              <c:idx val="1"/>
              <c:layout>
                <c:manualLayout>
                  <c:x val="0.13796795351091479"/>
                  <c:y val="-0.2006515102707799"/>
                </c:manualLayout>
              </c:layout>
              <c:dLblPos val="bestFit"/>
              <c:showLegendKey val="0"/>
              <c:showVal val="1"/>
              <c:showCatName val="1"/>
              <c:showSerName val="0"/>
              <c:showPercent val="0"/>
              <c:showBubbleSize val="0"/>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[工作簿1]Sheet1!$A$21:$A$22</c:f>
              <c:strCache>
                <c:ptCount val="2"/>
                <c:pt idx="0">
                  <c:v>教授任课</c:v>
                </c:pt>
                <c:pt idx="1">
                  <c:v>其他任课</c:v>
                </c:pt>
              </c:strCache>
            </c:strRef>
          </c:cat>
          <c:val>
            <c:numRef>
              <c:f>[工作簿1]Sheet1!$B$21:$B$22</c:f>
              <c:numCache>
                <c:formatCode>0.00%</c:formatCode>
                <c:ptCount val="2"/>
                <c:pt idx="0">
                  <c:v>0.13200000000000001</c:v>
                </c:pt>
                <c:pt idx="1">
                  <c:v>0.86800000000000088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noFill/>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图三：长春大学旅游学院教师年龄分布图</a:t>
            </a:r>
          </a:p>
        </c:rich>
      </c:tx>
      <c:overlay val="0"/>
      <c:spPr>
        <a:noFill/>
        <a:ln>
          <a:noFill/>
        </a:ln>
        <a:effectLst/>
      </c:spPr>
    </c:title>
    <c:autoTitleDeleted val="0"/>
    <c:plotArea>
      <c:layout/>
      <c:pieChart>
        <c:varyColors val="1"/>
        <c:ser>
          <c:idx val="0"/>
          <c:order val="0"/>
          <c:spPr>
            <a:gradFill>
              <a:gsLst>
                <a:gs pos="0">
                  <a:srgbClr val="FE4444"/>
                </a:gs>
                <a:gs pos="100000">
                  <a:srgbClr val="832B2B"/>
                </a:gs>
              </a:gsLst>
              <a:path path="circle">
                <a:fillToRect l="50000" t="50000" r="50000" b="50000"/>
              </a:path>
              <a:tileRect/>
            </a:gradFill>
          </c:spPr>
          <c:dPt>
            <c:idx val="0"/>
            <c:bubble3D val="0"/>
            <c:spPr>
              <a:solidFill>
                <a:schemeClr val="accent4">
                  <a:lumMod val="60000"/>
                  <a:lumOff val="40000"/>
                </a:schemeClr>
              </a:solidFill>
              <a:ln w="19050">
                <a:solidFill>
                  <a:schemeClr val="lt1"/>
                </a:solidFill>
              </a:ln>
              <a:effectLst/>
            </c:spPr>
          </c:dPt>
          <c:dPt>
            <c:idx val="1"/>
            <c:bubble3D val="0"/>
            <c:spPr>
              <a:solidFill>
                <a:schemeClr val="tx2">
                  <a:lumMod val="40000"/>
                  <a:lumOff val="60000"/>
                </a:schemeClr>
              </a:solidFill>
              <a:ln w="19050">
                <a:solidFill>
                  <a:schemeClr val="lt1"/>
                </a:solidFill>
              </a:ln>
              <a:effectLst/>
            </c:spPr>
          </c:dPt>
          <c:dLbls>
            <c:dLbl>
              <c:idx val="0"/>
              <c:layout>
                <c:manualLayout>
                  <c:x val="-0.24501391076115495"/>
                  <c:y val="-9.9515985698638135E-2"/>
                </c:manualLayout>
              </c:layout>
              <c:dLblPos val="bestFit"/>
              <c:showLegendKey val="0"/>
              <c:showVal val="1"/>
              <c:showCatName val="1"/>
              <c:showSerName val="0"/>
              <c:showPercent val="0"/>
              <c:showBubbleSize val="0"/>
            </c:dLbl>
            <c:dLbl>
              <c:idx val="1"/>
              <c:layout>
                <c:manualLayout>
                  <c:x val="0.14447349081364838"/>
                  <c:y val="0.16648562630458583"/>
                </c:manualLayout>
              </c:layout>
              <c:dLblPos val="bestFit"/>
              <c:showLegendKey val="0"/>
              <c:showVal val="1"/>
              <c:showCatName val="1"/>
              <c:showSerName val="0"/>
              <c:showPercent val="0"/>
              <c:showBubbleSize val="0"/>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[工作簿1]Sheet1!$A$39:$A$40</c:f>
              <c:strCache>
                <c:ptCount val="2"/>
                <c:pt idx="0">
                  <c:v>45岁以下青年教师</c:v>
                </c:pt>
                <c:pt idx="1">
                  <c:v>其他</c:v>
                </c:pt>
              </c:strCache>
            </c:strRef>
          </c:cat>
          <c:val>
            <c:numRef>
              <c:f>[工作簿1]Sheet1!$B$39:$B$40</c:f>
              <c:numCache>
                <c:formatCode>0.00%</c:formatCode>
                <c:ptCount val="2"/>
                <c:pt idx="0">
                  <c:v>0.70500000000000063</c:v>
                </c:pt>
                <c:pt idx="1">
                  <c:v>0.29500000000000032</c:v>
                </c:pt>
              </c:numCache>
            </c:numRef>
          </c:val>
        </c:ser>
        <c:dLbls>
          <c:showLegendKey val="0"/>
          <c:showVal val="1"/>
          <c:showCatName val="1"/>
          <c:showSerName val="0"/>
          <c:showPercent val="0"/>
          <c:showBubbleSize val="0"/>
          <c:showLeaderLines val="1"/>
        </c:dLbls>
        <c:firstSliceAng val="0"/>
      </c:pieChart>
      <c:spPr>
        <a:noFill/>
        <a:ln>
          <a:noFill/>
        </a:ln>
        <a:effectLst/>
      </c:spPr>
    </c:plotArea>
    <c:legend>
      <c:legendPos val="r"/>
      <c:layout>
        <c:manualLayout>
          <c:xMode val="edge"/>
          <c:yMode val="edge"/>
          <c:x val="0.64966666666666661"/>
          <c:y val="0.5408923884514435"/>
          <c:w val="0.28700000000000014"/>
          <c:h val="0.15653543307086634"/>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noFill/>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19</Pages>
  <Words>1413</Words>
  <Characters>8058</Characters>
  <Application>Microsoft Office Word</Application>
  <DocSecurity>0</DocSecurity>
  <Lines>67</Lines>
  <Paragraphs>18</Paragraphs>
  <ScaleCrop>false</ScaleCrop>
  <Company>Sky123.Org</Company>
  <LinksUpToDate>false</LinksUpToDate>
  <CharactersWithSpaces>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62</cp:revision>
  <cp:lastPrinted>2003-12-31T18:31:00Z</cp:lastPrinted>
  <dcterms:created xsi:type="dcterms:W3CDTF">2014-11-06T02:06:00Z</dcterms:created>
  <dcterms:modified xsi:type="dcterms:W3CDTF">2003-12-31T18:45:00Z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