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  <w:lang w:val="en-US" w:eastAsia="zh-CN"/>
        </w:rPr>
        <w:t xml:space="preserve">        </w:t>
      </w:r>
    </w:p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十四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2018年度“高校文明杯”竞赛活动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暨文明校园建设检查考核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党委宣传部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相关校领导、相关部门负责人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2018年度“高校文明杯”竞赛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学工系统先进集体、先进个人评审会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学生工作部（处）、团委、公寓中心、各学院党总支书记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11月29日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学生公寓安全检查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奢岭校区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学生公寓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学生工作部（处）、公寓中心、各学院党总支书记、各学院分团委书记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在线课程建设经验分享会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教学楼247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11月30日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（星期五）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学工系统月度例会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学生工作部（处）、团委、公寓中心、各学院党总支书记、各学院分团委书记、全体辅导员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说明：各参会人员由会议组织单位负责通知；会议所需用品由会议组织单位自行准备。</w:t>
      </w: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ScaleCrop>false</ScaleCrop>
  <LinksUpToDate>false</LinksUpToDate>
  <CharactersWithSpaces>709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2018-09-18T23:38:00Z</dcterms:created>
  <dc:creator>微软用户</dc:creator>
  <cp:lastModifiedBy>姚迪的 iPhone</cp:lastModifiedBy>
  <cp:lastPrinted>2018-11-24T01:27:03Z</cp:lastPrinted>
  <dcterms:modified xsi:type="dcterms:W3CDTF">2018-11-25T08:36:27Z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