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E2A" w:rsidRDefault="00D41E2A" w:rsidP="00D41E2A">
      <w:pPr>
        <w:jc w:val="center"/>
        <w:rPr>
          <w:rFonts w:eastAsia="楷体_GB2312"/>
          <w:b/>
          <w:color w:val="FF0000"/>
          <w:sz w:val="40"/>
          <w:szCs w:val="72"/>
        </w:rPr>
      </w:pPr>
      <w:r>
        <w:rPr>
          <w:rFonts w:eastAsia="楷体_GB2312" w:hint="eastAsia"/>
          <w:b/>
          <w:color w:val="FF0000"/>
          <w:kern w:val="0"/>
          <w:sz w:val="40"/>
          <w:szCs w:val="72"/>
        </w:rPr>
        <w:t>长春大学旅游学院</w:t>
      </w:r>
    </w:p>
    <w:p w:rsidR="00D41E2A" w:rsidRDefault="00D41E2A" w:rsidP="00D41E2A">
      <w:pPr>
        <w:jc w:val="center"/>
        <w:rPr>
          <w:rFonts w:eastAsia="楷体_GB2312"/>
          <w:b/>
          <w:color w:val="FF0000"/>
          <w:sz w:val="20"/>
          <w:szCs w:val="72"/>
        </w:rPr>
      </w:pPr>
    </w:p>
    <w:p w:rsidR="00D41E2A" w:rsidRDefault="00D41E2A" w:rsidP="00D41E2A">
      <w:pPr>
        <w:jc w:val="center"/>
        <w:rPr>
          <w:rFonts w:eastAsia="宋体"/>
          <w:b/>
          <w:color w:val="FF0000"/>
          <w:w w:val="85"/>
          <w:sz w:val="100"/>
          <w:szCs w:val="72"/>
        </w:rPr>
      </w:pPr>
      <w:r w:rsidRPr="00D41E2A">
        <w:rPr>
          <w:rFonts w:hint="eastAsia"/>
          <w:b/>
          <w:color w:val="FF0000"/>
          <w:spacing w:val="10"/>
          <w:w w:val="89"/>
          <w:kern w:val="0"/>
          <w:sz w:val="100"/>
          <w:szCs w:val="72"/>
          <w:fitText w:val="5040" w:id="1507018240"/>
        </w:rPr>
        <w:t>组</w:t>
      </w:r>
      <w:r w:rsidRPr="00D41E2A">
        <w:rPr>
          <w:b/>
          <w:color w:val="FF0000"/>
          <w:spacing w:val="10"/>
          <w:w w:val="89"/>
          <w:kern w:val="0"/>
          <w:sz w:val="100"/>
          <w:szCs w:val="72"/>
          <w:fitText w:val="5040" w:id="1507018240"/>
        </w:rPr>
        <w:t xml:space="preserve"> </w:t>
      </w:r>
      <w:r w:rsidRPr="00D41E2A">
        <w:rPr>
          <w:rFonts w:hint="eastAsia"/>
          <w:b/>
          <w:color w:val="FF0000"/>
          <w:spacing w:val="10"/>
          <w:w w:val="89"/>
          <w:kern w:val="0"/>
          <w:sz w:val="100"/>
          <w:szCs w:val="72"/>
          <w:fitText w:val="5040" w:id="1507018240"/>
        </w:rPr>
        <w:t>工</w:t>
      </w:r>
      <w:r w:rsidRPr="00D41E2A">
        <w:rPr>
          <w:b/>
          <w:color w:val="FF0000"/>
          <w:spacing w:val="10"/>
          <w:w w:val="89"/>
          <w:kern w:val="0"/>
          <w:sz w:val="100"/>
          <w:szCs w:val="72"/>
          <w:fitText w:val="5040" w:id="1507018240"/>
        </w:rPr>
        <w:t xml:space="preserve"> </w:t>
      </w:r>
      <w:r w:rsidRPr="00D41E2A">
        <w:rPr>
          <w:rFonts w:hint="eastAsia"/>
          <w:b/>
          <w:color w:val="FF0000"/>
          <w:spacing w:val="10"/>
          <w:w w:val="89"/>
          <w:kern w:val="0"/>
          <w:sz w:val="100"/>
          <w:szCs w:val="72"/>
          <w:fitText w:val="5040" w:id="1507018240"/>
        </w:rPr>
        <w:t>通</w:t>
      </w:r>
      <w:r w:rsidRPr="00D41E2A">
        <w:rPr>
          <w:b/>
          <w:color w:val="FF0000"/>
          <w:spacing w:val="10"/>
          <w:w w:val="89"/>
          <w:kern w:val="0"/>
          <w:sz w:val="100"/>
          <w:szCs w:val="72"/>
          <w:fitText w:val="5040" w:id="1507018240"/>
        </w:rPr>
        <w:t xml:space="preserve"> </w:t>
      </w:r>
      <w:r w:rsidRPr="00D41E2A">
        <w:rPr>
          <w:rFonts w:hint="eastAsia"/>
          <w:b/>
          <w:color w:val="FF0000"/>
          <w:w w:val="89"/>
          <w:kern w:val="0"/>
          <w:sz w:val="100"/>
          <w:szCs w:val="72"/>
          <w:fitText w:val="5040" w:id="1507018240"/>
        </w:rPr>
        <w:t>讯</w:t>
      </w:r>
    </w:p>
    <w:p w:rsidR="00D41E2A" w:rsidRDefault="00D41E2A" w:rsidP="00D41E2A">
      <w:pPr>
        <w:rPr>
          <w:szCs w:val="24"/>
        </w:rPr>
      </w:pPr>
    </w:p>
    <w:p w:rsidR="00D41E2A" w:rsidRDefault="00D41E2A" w:rsidP="00D41E2A">
      <w:pPr>
        <w:jc w:val="center"/>
      </w:pPr>
      <w:r>
        <w:rPr>
          <w:rFonts w:ascii="黑体" w:eastAsia="黑体" w:hint="eastAsia"/>
          <w:sz w:val="24"/>
        </w:rPr>
        <w:t>第5期</w:t>
      </w:r>
    </w:p>
    <w:p w:rsidR="00D41E2A" w:rsidRDefault="00D41E2A" w:rsidP="00D41E2A"/>
    <w:p w:rsidR="00D41E2A" w:rsidRDefault="00D41E2A" w:rsidP="00D41E2A">
      <w:pPr>
        <w:spacing w:line="460" w:lineRule="exact"/>
        <w:rPr>
          <w:sz w:val="10"/>
          <w:szCs w:val="10"/>
        </w:rPr>
      </w:pPr>
      <w:r>
        <w:rPr>
          <w:rFonts w:ascii="黑体" w:eastAsia="黑体" w:hint="eastAsia"/>
          <w:sz w:val="24"/>
        </w:rPr>
        <w:t xml:space="preserve"> 党委组织部  编                                       2017年8月31日</w:t>
      </w:r>
      <w:r>
        <w:rPr>
          <w:sz w:val="10"/>
        </w:rPr>
        <w:t xml:space="preserve">            </w:t>
      </w:r>
    </w:p>
    <w:tbl>
      <w:tblPr>
        <w:tblW w:w="9000" w:type="dxa"/>
        <w:tblInd w:w="108" w:type="dxa"/>
        <w:tblBorders>
          <w:top w:val="single" w:sz="18" w:space="0" w:color="auto"/>
        </w:tblBorders>
        <w:tblLook w:val="04A0"/>
      </w:tblPr>
      <w:tblGrid>
        <w:gridCol w:w="9000"/>
      </w:tblGrid>
      <w:tr w:rsidR="00D41E2A" w:rsidTr="00D41E2A">
        <w:trPr>
          <w:trHeight w:val="167"/>
        </w:trPr>
        <w:tc>
          <w:tcPr>
            <w:tcW w:w="9000" w:type="dxa"/>
            <w:tcBorders>
              <w:top w:val="single" w:sz="18" w:space="0" w:color="FF0000"/>
              <w:left w:val="nil"/>
              <w:bottom w:val="nil"/>
              <w:right w:val="nil"/>
            </w:tcBorders>
          </w:tcPr>
          <w:p w:rsidR="00D41E2A" w:rsidRDefault="00D41E2A">
            <w:pPr>
              <w:rPr>
                <w:rFonts w:ascii="黑体" w:eastAsia="黑体" w:cs="Times New Roman"/>
                <w:b/>
                <w:sz w:val="10"/>
                <w:szCs w:val="36"/>
              </w:rPr>
            </w:pPr>
          </w:p>
        </w:tc>
      </w:tr>
    </w:tbl>
    <w:p w:rsidR="00D41E2A" w:rsidRDefault="00D41E2A" w:rsidP="00D41E2A">
      <w:pPr>
        <w:spacing w:line="560" w:lineRule="exact"/>
        <w:jc w:val="center"/>
        <w:rPr>
          <w:rFonts w:ascii="黑体" w:eastAsia="黑体" w:hAnsi="Times New Roman" w:cs="Times New Roman"/>
          <w:b/>
          <w:sz w:val="36"/>
          <w:szCs w:val="36"/>
        </w:rPr>
      </w:pPr>
    </w:p>
    <w:p w:rsidR="00D41E2A" w:rsidRPr="00D41E2A" w:rsidRDefault="00D41E2A" w:rsidP="00D41E2A">
      <w:pPr>
        <w:spacing w:line="560" w:lineRule="exact"/>
        <w:jc w:val="center"/>
        <w:rPr>
          <w:rFonts w:ascii="黑体" w:eastAsia="方正姚体" w:hint="eastAsia"/>
          <w:b/>
          <w:sz w:val="36"/>
          <w:szCs w:val="36"/>
        </w:rPr>
      </w:pPr>
      <w:r>
        <w:rPr>
          <w:rFonts w:ascii="黑体" w:eastAsia="方正姚体" w:hint="eastAsia"/>
          <w:b/>
          <w:sz w:val="36"/>
          <w:szCs w:val="36"/>
        </w:rPr>
        <w:t>※</w:t>
      </w:r>
      <w:r>
        <w:rPr>
          <w:rFonts w:ascii="黑体" w:eastAsia="方正姚体" w:hint="eastAsia"/>
          <w:b/>
          <w:sz w:val="36"/>
          <w:szCs w:val="36"/>
        </w:rPr>
        <w:t xml:space="preserve"> </w:t>
      </w:r>
      <w:r>
        <w:rPr>
          <w:rFonts w:ascii="华文细黑" w:eastAsia="方正姚体" w:hint="eastAsia"/>
          <w:b/>
          <w:sz w:val="36"/>
          <w:szCs w:val="36"/>
        </w:rPr>
        <w:t>内</w:t>
      </w:r>
      <w:r>
        <w:rPr>
          <w:rFonts w:ascii="华文细黑" w:eastAsia="方正姚体" w:hint="eastAsia"/>
          <w:b/>
          <w:sz w:val="36"/>
          <w:szCs w:val="36"/>
        </w:rPr>
        <w:t xml:space="preserve"> </w:t>
      </w:r>
      <w:r>
        <w:rPr>
          <w:rFonts w:ascii="华文细黑" w:eastAsia="方正姚体" w:hint="eastAsia"/>
          <w:b/>
          <w:sz w:val="36"/>
          <w:szCs w:val="36"/>
        </w:rPr>
        <w:t>容</w:t>
      </w:r>
      <w:r>
        <w:rPr>
          <w:rFonts w:ascii="华文细黑" w:eastAsia="方正姚体" w:hint="eastAsia"/>
          <w:b/>
          <w:sz w:val="36"/>
          <w:szCs w:val="36"/>
        </w:rPr>
        <w:t xml:space="preserve"> </w:t>
      </w:r>
      <w:r>
        <w:rPr>
          <w:rFonts w:ascii="华文细黑" w:eastAsia="方正姚体" w:hint="eastAsia"/>
          <w:b/>
          <w:sz w:val="36"/>
          <w:szCs w:val="36"/>
        </w:rPr>
        <w:t>提</w:t>
      </w:r>
      <w:r>
        <w:rPr>
          <w:rFonts w:ascii="华文细黑" w:eastAsia="方正姚体" w:hint="eastAsia"/>
          <w:b/>
          <w:sz w:val="36"/>
          <w:szCs w:val="36"/>
        </w:rPr>
        <w:t xml:space="preserve"> </w:t>
      </w:r>
      <w:r>
        <w:rPr>
          <w:rFonts w:ascii="华文细黑" w:eastAsia="方正姚体" w:hint="eastAsia"/>
          <w:b/>
          <w:sz w:val="36"/>
          <w:szCs w:val="36"/>
        </w:rPr>
        <w:t>要</w:t>
      </w:r>
      <w:r>
        <w:rPr>
          <w:rFonts w:ascii="黑体" w:eastAsia="方正姚体" w:hint="eastAsia"/>
          <w:b/>
          <w:sz w:val="36"/>
          <w:szCs w:val="36"/>
        </w:rPr>
        <w:t xml:space="preserve"> </w:t>
      </w:r>
      <w:r>
        <w:rPr>
          <w:rFonts w:ascii="黑体" w:eastAsia="方正姚体" w:hint="eastAsia"/>
          <w:b/>
          <w:sz w:val="36"/>
          <w:szCs w:val="36"/>
        </w:rPr>
        <w:t>※</w:t>
      </w:r>
    </w:p>
    <w:p w:rsidR="00D41E2A" w:rsidRDefault="00D41E2A" w:rsidP="00D41E2A">
      <w:pPr>
        <w:widowControl/>
        <w:spacing w:before="100" w:beforeAutospacing="1" w:after="100" w:afterAutospacing="1" w:line="480" w:lineRule="auto"/>
        <w:ind w:firstLine="480"/>
        <w:rPr>
          <w:rFonts w:asciiTheme="majorEastAsia" w:eastAsiaTheme="majorEastAsia" w:hAnsiTheme="majorEastAsia" w:hint="eastAsia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 xml:space="preserve"> ▲</w:t>
      </w:r>
      <w:r>
        <w:rPr>
          <w:rFonts w:ascii="仿宋" w:eastAsia="仿宋" w:hAnsi="仿宋" w:hint="eastAsia"/>
          <w:bCs/>
          <w:sz w:val="32"/>
          <w:szCs w:val="32"/>
        </w:rPr>
        <w:t>长春分领域推进学习教育常态化“六双”行动引领党员争先锋</w:t>
      </w:r>
    </w:p>
    <w:p w:rsidR="00D41E2A" w:rsidRPr="00D41E2A" w:rsidRDefault="00D41E2A" w:rsidP="00D41E2A">
      <w:pPr>
        <w:pStyle w:val="a5"/>
        <w:shd w:val="clear" w:color="auto" w:fill="FFFFFF"/>
        <w:spacing w:line="460" w:lineRule="exact"/>
        <w:jc w:val="both"/>
        <w:rPr>
          <w:rFonts w:ascii="仿宋" w:eastAsia="仿宋" w:hAnsi="仿宋"/>
          <w:sz w:val="32"/>
          <w:szCs w:val="32"/>
        </w:rPr>
        <w:sectPr w:rsidR="00D41E2A" w:rsidRPr="00D41E2A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仿宋" w:eastAsia="仿宋" w:hAnsi="仿宋" w:hint="eastAsia"/>
          <w:b/>
          <w:bCs/>
          <w:sz w:val="32"/>
          <w:szCs w:val="32"/>
        </w:rPr>
        <w:t xml:space="preserve">    ▲</w:t>
      </w:r>
      <w:r>
        <w:rPr>
          <w:rFonts w:ascii="仿宋" w:eastAsia="仿宋" w:hAnsi="仿宋" w:hint="eastAsia"/>
          <w:sz w:val="32"/>
          <w:szCs w:val="32"/>
        </w:rPr>
        <w:t>教育部：鼓励高层次人才向中西部、东北地区高校流动</w:t>
      </w:r>
    </w:p>
    <w:p w:rsidR="00D41E2A" w:rsidRDefault="00D41E2A" w:rsidP="00D41E2A">
      <w:pPr>
        <w:pStyle w:val="a5"/>
        <w:shd w:val="clear" w:color="auto" w:fill="FFFFFF"/>
        <w:spacing w:line="700" w:lineRule="exact"/>
        <w:jc w:val="center"/>
        <w:rPr>
          <w:rFonts w:ascii="方正小标宋简体" w:eastAsia="方正小标宋简体" w:hint="eastAsia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lastRenderedPageBreak/>
        <w:t>长春分领域推进学习教育常态化</w:t>
      </w:r>
    </w:p>
    <w:p w:rsidR="00D41E2A" w:rsidRDefault="00D41E2A" w:rsidP="00D41E2A">
      <w:pPr>
        <w:pStyle w:val="a5"/>
        <w:shd w:val="clear" w:color="auto" w:fill="FFFFFF"/>
        <w:spacing w:line="700" w:lineRule="exact"/>
        <w:jc w:val="center"/>
        <w:rPr>
          <w:rFonts w:ascii="方正小标宋简体" w:eastAsia="方正小标宋简体" w:hAnsiTheme="majorEastAsia" w:hint="eastAsia"/>
          <w:bCs/>
          <w:sz w:val="44"/>
          <w:szCs w:val="44"/>
        </w:rPr>
      </w:pPr>
      <w:r>
        <w:rPr>
          <w:rFonts w:ascii="方正小标宋简体" w:eastAsia="方正小标宋简体" w:hAnsiTheme="majorEastAsia" w:hint="eastAsia"/>
          <w:bCs/>
          <w:sz w:val="44"/>
          <w:szCs w:val="44"/>
        </w:rPr>
        <w:t>“六双”行动引领党员争先锋</w:t>
      </w:r>
    </w:p>
    <w:p w:rsidR="00D41E2A" w:rsidRPr="00D41E2A" w:rsidRDefault="00D41E2A" w:rsidP="00D41E2A">
      <w:pPr>
        <w:pStyle w:val="a5"/>
        <w:shd w:val="clear" w:color="auto" w:fill="FFFFFF"/>
        <w:spacing w:line="700" w:lineRule="exact"/>
        <w:jc w:val="both"/>
        <w:rPr>
          <w:rFonts w:ascii="方正小标宋简体" w:eastAsia="方正小标宋简体" w:hAnsi="仿宋" w:hint="eastAsia"/>
          <w:sz w:val="44"/>
          <w:szCs w:val="44"/>
        </w:rPr>
      </w:pPr>
      <w:r>
        <w:rPr>
          <w:rFonts w:ascii="方正小标宋简体" w:eastAsia="方正小标宋简体" w:hAnsiTheme="majorEastAsia" w:hint="eastAsia"/>
          <w:bCs/>
          <w:sz w:val="44"/>
          <w:szCs w:val="44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《中国组织人事报》长春讯 通讯员 曹键  今年以来，长春市坚持分类指导、精准发力，根据不同层级、不同领域、不同行业党员群体特点，深化拓展“做”的具体载体，分类创设先锋行动主题，以“六双”先锋行动引领广大党员立足岗位、争当先锋，确保真学实做、求真务实。</w:t>
      </w:r>
    </w:p>
    <w:p w:rsidR="00D41E2A" w:rsidRDefault="00D41E2A" w:rsidP="00D41E2A">
      <w:pPr>
        <w:widowControl/>
        <w:shd w:val="clear" w:color="auto" w:fill="FFFFFF"/>
        <w:spacing w:before="100" w:beforeAutospacing="1" w:after="100" w:afterAutospacing="1" w:line="700" w:lineRule="exact"/>
        <w:ind w:firstLineChars="200" w:firstLine="64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在农村党员中开展党员引领创业致富、带领群众共同致富“双富”先锋行动。该市通过开展支书领富、党员带富、结对帮富、培训助富等措施，激发广大农村党员争当“双富”先锋的活力。要求每名“项目支书”直接带动或支持帮扶本村10%左右的农户创办1个以上致富项目；每名“项目党员”每年带动3户以上农户创办1个致富项目；组织有致富能力的党员与创业农户对接帮扶、结对帮富；对党员村干部、党员专业合作组织骨干进行特色种植养殖、电子商务等培训，不断提升致富带富能力。</w:t>
      </w:r>
    </w:p>
    <w:p w:rsidR="00D41E2A" w:rsidRDefault="00D41E2A" w:rsidP="00D41E2A">
      <w:pPr>
        <w:widowControl/>
        <w:shd w:val="clear" w:color="auto" w:fill="FFFFFF"/>
        <w:spacing w:before="100" w:beforeAutospacing="1" w:after="100" w:afterAutospacing="1" w:line="700" w:lineRule="exact"/>
        <w:ind w:firstLineChars="200" w:firstLine="64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在社区党员中开展共建幸福社区、共建和谐家园“双建”先锋行动。该市通过开展结对帮扶、志愿服务、民情守望、</w:t>
      </w: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红色宣讲，引导社区党员在服务群众、化解矛盾、维护稳定等方面发挥先锋模范作用。组建社区党员帮扶团队，提供助贫、助老、助业、助学、助医等5项服务；组建社区党员志愿服务队，围绕“一老一小”开展代购代买、维修、课后看护等服务；建立民事调解员、社会治安员、市容协管员队伍，为建设幸福社区贡献力量；组建“红色宣讲团”和文化活动团队，弘扬“红色文化”。</w:t>
      </w:r>
    </w:p>
    <w:p w:rsidR="00D41E2A" w:rsidRDefault="00D41E2A" w:rsidP="00D41E2A">
      <w:pPr>
        <w:widowControl/>
        <w:shd w:val="clear" w:color="auto" w:fill="FFFFFF"/>
        <w:spacing w:before="100" w:beforeAutospacing="1" w:after="100" w:afterAutospacing="1" w:line="700" w:lineRule="exact"/>
        <w:ind w:firstLineChars="200" w:firstLine="64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在国企党员中开展比岗位技能、比贡献业绩“双比”先锋行动。该市通过开展技能竞赛、师徒帮带、创效攻坚、业绩展览等方式，进一步强化国企党员职工的党员意识和创优意识，为企业发展献计献策，为推动国有企业做强做优做大贡献力量。组织开展“十大工匠”“十佳技术能手”“十大专业技术人员”“十大爱岗敬业模范”等评选活动，激励广大党员立足岗位、敬业奉献。开展“提效率、保质量、降成本”主题活动月等活动，引领党员贡献业绩，助推企业创效增收。</w:t>
      </w:r>
    </w:p>
    <w:p w:rsidR="00D41E2A" w:rsidRDefault="00D41E2A" w:rsidP="00D41E2A">
      <w:pPr>
        <w:widowControl/>
        <w:shd w:val="clear" w:color="auto" w:fill="FFFFFF"/>
        <w:spacing w:before="100" w:beforeAutospacing="1" w:after="100" w:afterAutospacing="1" w:line="700" w:lineRule="exact"/>
        <w:ind w:firstLineChars="200" w:firstLine="64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在机关党员中开展带头服务振兴发展、带头服务改善民生“双带”先锋行动。该市通过开展“转、优、促”换位体验、机关党建调研督查等措施，引导广大机关党员干部深入</w:t>
      </w: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基层，直接联系服务群众、倾听民意民声、排查化解社会矛盾、指导推动工作。以“转作风、优服务、促发展”为主题，区分领导班子成员、处级干部和普通党员3个层次开展换位体验活动；采取召开座谈会、问卷调查、实地走访、查阅资料等方式开展机关党建工作调研督查，重点排查解决22个重点问题，推进机关党建实现新跃升。</w:t>
      </w:r>
    </w:p>
    <w:p w:rsidR="00D41E2A" w:rsidRDefault="00D41E2A" w:rsidP="00D41E2A">
      <w:pPr>
        <w:widowControl/>
        <w:shd w:val="clear" w:color="auto" w:fill="FFFFFF"/>
        <w:spacing w:before="100" w:beforeAutospacing="1" w:after="100" w:afterAutospacing="1" w:line="700" w:lineRule="exact"/>
        <w:ind w:firstLineChars="200" w:firstLine="64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在窗口单位和服务行业党员中开展争做服务标兵、争当窗口明星“双争”先锋行动。该市通过规范服务标准、实施“岗位练兵”、开展“设岗评星”等措施，引导党员在改进服务方式、转变工作作风、提升服务水平中发挥模范作用。结合工作实际，明确工作标准和行为规范，推行“导办领办代办”服务，提高服务效率；开展以“明岗位职责、通业务知识、知群众语言、懂文明礼仪”为主要内容的岗位大练兵活动，提高服务能力；设立红旗流动岗、党员先锋岗、党员标兵岗，评选先进典型，形成示范效应。</w:t>
      </w:r>
    </w:p>
    <w:p w:rsidR="00D41E2A" w:rsidRDefault="00D41E2A" w:rsidP="00D41E2A">
      <w:pPr>
        <w:widowControl/>
        <w:shd w:val="clear" w:color="auto" w:fill="FFFFFF"/>
        <w:spacing w:before="100" w:beforeAutospacing="1" w:after="100" w:afterAutospacing="1" w:line="700" w:lineRule="exact"/>
        <w:ind w:firstLineChars="200" w:firstLine="64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在非公企业和社会组织党员中开展亮明身份职责、亮承诺比奉献“双亮”先锋行动。该市开展“亮、争、评、建”，激发党员当先锋、作表率的活力和热情。通过一枚党员胸卡、一块党员公示牌、一张党员群像图、一份党员承诺书，亮明</w:t>
      </w: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党员身份，亮出党员承诺；围绕安全生产、诚信经营、文明服务等，设立党员先锋岗，签订岗位责任书，引领党员争当岗位先锋；评定岗位明星，对履行职责、发挥作用、践行诺言的典型发放特殊岗位津贴；建立党员“政治档案”，记录党员参与“双亮”先锋行动的现实表现和评定结果，作为评先评优的依据。</w:t>
      </w:r>
    </w:p>
    <w:p w:rsidR="00D41E2A" w:rsidRDefault="00D41E2A" w:rsidP="00D41E2A">
      <w:pPr>
        <w:spacing w:line="700" w:lineRule="exact"/>
        <w:jc w:val="right"/>
        <w:rPr>
          <w:rFonts w:ascii="仿宋" w:eastAsia="仿宋" w:hAnsi="仿宋" w:cs="Times New Roman" w:hint="eastAsia"/>
          <w:sz w:val="26"/>
          <w:szCs w:val="26"/>
        </w:rPr>
      </w:pPr>
      <w:r>
        <w:rPr>
          <w:rFonts w:ascii="仿宋" w:eastAsia="仿宋" w:hAnsi="仿宋" w:hint="eastAsia"/>
          <w:sz w:val="32"/>
          <w:szCs w:val="32"/>
        </w:rPr>
        <w:t>本文原载《中国组织人事报》 (2017年08月18日 第一版)</w:t>
      </w:r>
    </w:p>
    <w:p w:rsidR="00D41E2A" w:rsidRDefault="00D41E2A" w:rsidP="00D41E2A">
      <w:pPr>
        <w:spacing w:line="700" w:lineRule="exact"/>
        <w:ind w:firstLineChars="200" w:firstLine="600"/>
        <w:jc w:val="right"/>
        <w:rPr>
          <w:rFonts w:ascii="仿宋" w:eastAsia="仿宋" w:hAnsi="仿宋" w:hint="eastAsia"/>
          <w:sz w:val="30"/>
          <w:szCs w:val="30"/>
        </w:rPr>
      </w:pPr>
    </w:p>
    <w:p w:rsidR="00D41E2A" w:rsidRDefault="00D41E2A" w:rsidP="00D41E2A">
      <w:pPr>
        <w:pStyle w:val="a5"/>
        <w:shd w:val="clear" w:color="auto" w:fill="FFFFFF"/>
        <w:spacing w:line="700" w:lineRule="exact"/>
        <w:ind w:firstLineChars="200" w:firstLine="880"/>
        <w:jc w:val="center"/>
        <w:rPr>
          <w:rFonts w:ascii="方正小标宋简体" w:eastAsia="方正小标宋简体" w:hAnsiTheme="majorEastAsia" w:hint="eastAsia"/>
          <w:sz w:val="44"/>
          <w:szCs w:val="44"/>
        </w:rPr>
      </w:pPr>
      <w:r>
        <w:rPr>
          <w:rFonts w:ascii="方正小标宋简体" w:eastAsia="方正小标宋简体" w:hAnsiTheme="majorEastAsia" w:hint="eastAsia"/>
          <w:sz w:val="44"/>
          <w:szCs w:val="44"/>
        </w:rPr>
        <w:t>教育部：鼓励高层次人才向中西部、东北地区高校流动</w:t>
      </w:r>
    </w:p>
    <w:p w:rsidR="00D41E2A" w:rsidRDefault="00D41E2A" w:rsidP="00D41E2A">
      <w:pPr>
        <w:widowControl/>
        <w:spacing w:before="100" w:beforeAutospacing="1" w:after="100" w:afterAutospacing="1" w:line="700" w:lineRule="exact"/>
        <w:ind w:firstLineChars="200" w:firstLine="64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人民网北京8月22日电  据教育部网站消息，日前，中共教育部党组印发了《关于加快直属高校高层次人才发展的指导意见》（以下简称《意见》），《意见》提出，要鼓励高层次人才向中西部和东北地区高校流动。坚持正确的人才流动导向，不鼓励东部地区高校从中西部、东北地区高校引进人才，支持东部地区高校向中西部、东北地区高校输出人才，帮助中西部和东北地区“输血”“造血”。</w:t>
      </w:r>
    </w:p>
    <w:p w:rsidR="00D41E2A" w:rsidRDefault="00D41E2A" w:rsidP="00D41E2A">
      <w:pPr>
        <w:widowControl/>
        <w:spacing w:before="100" w:beforeAutospacing="1" w:after="100" w:afterAutospacing="1" w:line="700" w:lineRule="exact"/>
        <w:ind w:firstLineChars="200" w:firstLine="64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在加强人才工作组织领导上，《意见》明确，要认真落实党管人才原则，完善党管人才工作机制，突出政治标准，严把政治方向；建立高校各级党政领导班子和领导干部人才工作目标责任制，将高层次人才发展列为落实党建工作责任制情况述职的重要内容。</w:t>
      </w:r>
    </w:p>
    <w:p w:rsidR="00D41E2A" w:rsidRDefault="00D41E2A" w:rsidP="00D41E2A">
      <w:pPr>
        <w:widowControl/>
        <w:spacing w:before="100" w:beforeAutospacing="1" w:after="100" w:afterAutospacing="1" w:line="700" w:lineRule="exact"/>
        <w:ind w:firstLineChars="200" w:firstLine="64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在强化高层次人才培育支持的具体措施方面，《意见》要求，要加强思想理论教育和政治引领，在人才引进、人才选聘、课题申报、职称评审等过程中，坚持思想政治素质和师德规范要求，实行“一票否决”制；通过完善人才发展投入机制、加大人才开发投入力度等方式，加大人才发展支持力度；通过深入实施国家重大人才工程、支持高校设立杰出人才工作室等多种形式，着力造就杰出人才、领军人才及高水平创新团队。</w:t>
      </w:r>
    </w:p>
    <w:p w:rsidR="00D41E2A" w:rsidRDefault="00D41E2A" w:rsidP="00D41E2A">
      <w:pPr>
        <w:widowControl/>
        <w:spacing w:before="100" w:beforeAutospacing="1" w:after="100" w:afterAutospacing="1" w:line="700" w:lineRule="exact"/>
        <w:ind w:firstLineChars="200" w:firstLine="64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在优化高层次人才考核评价和创新高层次人才激励保障机制方面，《意见》要求，要突出品德、能力和业绩导向，并根据学科、类型和人才发展阶段，逐步完善体现中国特色、符合国际通行标准的人才分类评价体系；要改进评价方式，科学设置考核评价周期和考核办法，激励高层次人才投身重大原始创新研究。建立健全有利于提高竞争力的内部分配机</w:t>
      </w: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制，鼓励高校实行高层次人才协议工资制、项目工资制等绩效工资分配方式，统筹考虑引进高层次人才与现有高层次人才工资待遇，建立符合实际、水平适当、发展均衡、管理规范的薪酬分配体系。</w:t>
      </w:r>
    </w:p>
    <w:p w:rsidR="00D41E2A" w:rsidRDefault="00D41E2A" w:rsidP="00D41E2A">
      <w:pPr>
        <w:widowControl/>
        <w:spacing w:before="100" w:beforeAutospacing="1" w:after="100" w:afterAutospacing="1" w:line="700" w:lineRule="exact"/>
        <w:ind w:firstLineChars="200" w:firstLine="64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《意见》最后强调要加强对高层次人才的团结、引领、服务，落实领导干部联系服务专家制度，班子成员要带头听取专家意见建议，帮助解决实际问题，密切思想感情联系。充分发挥人才在决策咨询、评审评估、科学普及和知识传播等方面作用，加强高层次人才典型宣传。关心高层次人才身心健康，提供良好医疗保健服务。</w:t>
      </w:r>
    </w:p>
    <w:p w:rsidR="00D41E2A" w:rsidRDefault="00D41E2A" w:rsidP="00D41E2A">
      <w:pPr>
        <w:spacing w:line="700" w:lineRule="exact"/>
        <w:ind w:firstLineChars="200" w:firstLine="640"/>
        <w:jc w:val="right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本文原载《人民日报》 (2017年08月22日 第一版)</w:t>
      </w:r>
    </w:p>
    <w:p w:rsidR="00D41E2A" w:rsidRDefault="00D41E2A" w:rsidP="00D41E2A">
      <w:pPr>
        <w:pStyle w:val="a5"/>
        <w:shd w:val="clear" w:color="auto" w:fill="FFFFFF"/>
        <w:spacing w:line="700" w:lineRule="exact"/>
        <w:ind w:firstLineChars="200" w:firstLine="520"/>
        <w:jc w:val="both"/>
        <w:rPr>
          <w:rFonts w:ascii="仿宋" w:eastAsia="仿宋" w:hAnsi="仿宋" w:hint="eastAsia"/>
          <w:sz w:val="26"/>
          <w:szCs w:val="26"/>
        </w:rPr>
      </w:pPr>
    </w:p>
    <w:p w:rsidR="00D41E2A" w:rsidRDefault="00D41E2A" w:rsidP="00D41E2A">
      <w:pPr>
        <w:pStyle w:val="a5"/>
        <w:shd w:val="clear" w:color="auto" w:fill="FFFFFF"/>
        <w:spacing w:line="700" w:lineRule="exact"/>
        <w:ind w:firstLineChars="200" w:firstLine="520"/>
        <w:jc w:val="both"/>
        <w:rPr>
          <w:rFonts w:ascii="仿宋" w:eastAsia="仿宋" w:hAnsi="仿宋" w:hint="eastAsia"/>
          <w:sz w:val="26"/>
          <w:szCs w:val="26"/>
        </w:rPr>
      </w:pPr>
    </w:p>
    <w:p w:rsidR="00D41E2A" w:rsidRDefault="00D41E2A" w:rsidP="00D41E2A">
      <w:pPr>
        <w:pStyle w:val="a5"/>
        <w:shd w:val="clear" w:color="auto" w:fill="FFFFFF"/>
        <w:spacing w:line="460" w:lineRule="exact"/>
        <w:ind w:firstLine="420"/>
        <w:jc w:val="both"/>
        <w:rPr>
          <w:rFonts w:ascii="仿宋" w:eastAsia="仿宋" w:hAnsi="仿宋" w:hint="eastAsia"/>
          <w:sz w:val="26"/>
          <w:szCs w:val="26"/>
        </w:rPr>
      </w:pPr>
    </w:p>
    <w:p w:rsidR="00D41E2A" w:rsidRDefault="00D41E2A" w:rsidP="00D41E2A">
      <w:pPr>
        <w:pStyle w:val="a5"/>
        <w:spacing w:before="0" w:beforeAutospacing="0" w:after="0" w:afterAutospacing="0" w:line="400" w:lineRule="exact"/>
        <w:jc w:val="both"/>
        <w:rPr>
          <w:rFonts w:ascii="仿宋_GB2312" w:eastAsia="仿宋_GB2312" w:hAnsi="Times New Roman" w:cs="Times New Roman" w:hint="eastAsia"/>
          <w:sz w:val="28"/>
          <w:szCs w:val="28"/>
        </w:rPr>
      </w:pPr>
      <w:r>
        <w:rPr>
          <w:rFonts w:hint="eastAsia"/>
        </w:rPr>
        <w:pict>
          <v:line id="_x0000_s2050" style="position:absolute;left:0;text-align:left;z-index:251660288" from="0,15.45pt" to="477pt,15.45pt" strokecolor="red" strokeweight="1.25pt"/>
        </w:pict>
      </w:r>
    </w:p>
    <w:p w:rsidR="00D41E2A" w:rsidRDefault="00D41E2A" w:rsidP="00D41E2A">
      <w:pPr>
        <w:tabs>
          <w:tab w:val="left" w:pos="3960"/>
          <w:tab w:val="left" w:pos="4560"/>
        </w:tabs>
        <w:spacing w:line="460" w:lineRule="exact"/>
        <w:ind w:right="33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报：</w:t>
      </w:r>
      <w:r>
        <w:rPr>
          <w:rFonts w:ascii="仿宋" w:eastAsia="仿宋" w:hAnsi="仿宋" w:hint="eastAsia"/>
          <w:sz w:val="32"/>
          <w:szCs w:val="32"/>
        </w:rPr>
        <w:t>学校领导；</w:t>
      </w:r>
    </w:p>
    <w:p w:rsidR="00D41E2A" w:rsidRDefault="00D41E2A" w:rsidP="00D41E2A">
      <w:pPr>
        <w:tabs>
          <w:tab w:val="left" w:pos="3960"/>
          <w:tab w:val="left" w:pos="4560"/>
        </w:tabs>
        <w:spacing w:line="460" w:lineRule="exact"/>
        <w:ind w:right="33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送：</w:t>
      </w:r>
      <w:r>
        <w:rPr>
          <w:rFonts w:ascii="仿宋" w:eastAsia="仿宋" w:hAnsi="仿宋" w:hint="eastAsia"/>
          <w:sz w:val="32"/>
          <w:szCs w:val="32"/>
        </w:rPr>
        <w:t>学校有关部门；</w:t>
      </w:r>
    </w:p>
    <w:p w:rsidR="00D41E2A" w:rsidRDefault="00D41E2A" w:rsidP="00D41E2A">
      <w:pPr>
        <w:tabs>
          <w:tab w:val="left" w:pos="3960"/>
          <w:tab w:val="left" w:pos="4560"/>
        </w:tabs>
        <w:spacing w:line="460" w:lineRule="exact"/>
        <w:ind w:right="33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发：</w:t>
      </w:r>
      <w:r>
        <w:rPr>
          <w:rFonts w:ascii="仿宋" w:eastAsia="仿宋" w:hAnsi="仿宋" w:hint="eastAsia"/>
          <w:sz w:val="32"/>
          <w:szCs w:val="32"/>
        </w:rPr>
        <w:t>各党总支、直属党支部、党支部</w:t>
      </w:r>
    </w:p>
    <w:p w:rsidR="00D41E2A" w:rsidRDefault="00D41E2A" w:rsidP="00D41E2A">
      <w:pPr>
        <w:pStyle w:val="a5"/>
        <w:shd w:val="clear" w:color="auto" w:fill="FFFFFF"/>
        <w:spacing w:line="460" w:lineRule="exact"/>
        <w:ind w:firstLine="420"/>
        <w:jc w:val="both"/>
        <w:rPr>
          <w:rFonts w:ascii="仿宋" w:eastAsia="仿宋" w:hAnsi="仿宋" w:hint="eastAsia"/>
          <w:sz w:val="26"/>
          <w:szCs w:val="26"/>
        </w:rPr>
      </w:pPr>
    </w:p>
    <w:sectPr w:rsidR="00D41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B1F" w:rsidRDefault="00172B1F" w:rsidP="00D41E2A">
      <w:r>
        <w:separator/>
      </w:r>
    </w:p>
  </w:endnote>
  <w:endnote w:type="continuationSeparator" w:id="1">
    <w:p w:rsidR="00172B1F" w:rsidRDefault="00172B1F" w:rsidP="00D41E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B1F" w:rsidRDefault="00172B1F" w:rsidP="00D41E2A">
      <w:r>
        <w:separator/>
      </w:r>
    </w:p>
  </w:footnote>
  <w:footnote w:type="continuationSeparator" w:id="1">
    <w:p w:rsidR="00172B1F" w:rsidRDefault="00172B1F" w:rsidP="00D41E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1E2A"/>
    <w:rsid w:val="00172B1F"/>
    <w:rsid w:val="00D41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1E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1E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1E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1E2A"/>
    <w:rPr>
      <w:sz w:val="18"/>
      <w:szCs w:val="18"/>
    </w:rPr>
  </w:style>
  <w:style w:type="paragraph" w:styleId="a5">
    <w:name w:val="Normal (Web)"/>
    <w:basedOn w:val="a"/>
    <w:unhideWhenUsed/>
    <w:rsid w:val="00D41E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41E2A"/>
    <w:rPr>
      <w:color w:val="0000FF"/>
      <w:u w:val="single"/>
    </w:rPr>
  </w:style>
  <w:style w:type="character" w:styleId="a7">
    <w:name w:val="Strong"/>
    <w:basedOn w:val="a0"/>
    <w:uiPriority w:val="22"/>
    <w:qFormat/>
    <w:rsid w:val="00D41E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1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delll</dc:creator>
  <cp:keywords/>
  <dc:description/>
  <cp:lastModifiedBy>delll</cp:lastModifiedBy>
  <cp:revision>2</cp:revision>
  <dcterms:created xsi:type="dcterms:W3CDTF">2017-09-26T05:06:00Z</dcterms:created>
  <dcterms:modified xsi:type="dcterms:W3CDTF">2017-09-26T05:10:00Z</dcterms:modified>
</cp:coreProperties>
</file>